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83B7D" w:rsidRDefault="00483B7D">
      <w:pPr>
        <w:spacing w:after="0" w:line="1843" w:lineRule="exact"/>
      </w:pPr>
    </w:p>
    <w:p w14:paraId="52A10E77" w14:textId="081BECE4" w:rsidR="00483B7D" w:rsidRDefault="00EC45F9">
      <w:pPr>
        <w:pStyle w:val="Title0"/>
      </w:pPr>
      <w:r>
        <w:t>Plantilla y normas de presentación para los artículos de</w:t>
      </w:r>
      <w:r w:rsidR="00056352">
        <w:t>L CONGRESO</w:t>
      </w:r>
      <w:r>
        <w:t xml:space="preserve"> TecniAcústica 2026</w:t>
      </w:r>
    </w:p>
    <w:p w14:paraId="1488C8A3" w14:textId="77777777" w:rsidR="00483B7D" w:rsidRDefault="00EC45F9">
      <w:pPr>
        <w:pStyle w:val="Autores"/>
      </w:pPr>
      <w:r>
        <w:t>Nombre1 Apellido1</w:t>
      </w:r>
      <w:r>
        <w:rPr>
          <w:vertAlign w:val="superscript"/>
        </w:rPr>
        <w:t>1,*</w:t>
      </w:r>
      <w:r>
        <w:t>, Nombre2 Apellido2</w:t>
      </w:r>
      <w:r>
        <w:rPr>
          <w:vertAlign w:val="superscript"/>
        </w:rPr>
        <w:t>1</w:t>
      </w:r>
      <w:r>
        <w:t>, Nombre3 Apellido3</w:t>
      </w:r>
      <w:r>
        <w:rPr>
          <w:vertAlign w:val="superscript"/>
        </w:rPr>
        <w:t>2</w:t>
      </w:r>
      <w:r>
        <w:t>, Nombre4 Apellido4</w:t>
      </w:r>
      <w:r>
        <w:rPr>
          <w:vertAlign w:val="superscript"/>
        </w:rPr>
        <w:t>3</w:t>
      </w:r>
    </w:p>
    <w:p w14:paraId="09189BFA" w14:textId="77777777" w:rsidR="00483B7D" w:rsidRDefault="00EC45F9">
      <w:pPr>
        <w:pStyle w:val="Afiliaciones"/>
      </w:pPr>
      <w:r>
        <w:rPr>
          <w:vertAlign w:val="superscript"/>
        </w:rPr>
        <w:t>1</w:t>
      </w:r>
      <w:r>
        <w:t xml:space="preserve"> Grupo de Acústica, Universidad A, España</w:t>
      </w:r>
    </w:p>
    <w:p w14:paraId="37A67FE2" w14:textId="77777777" w:rsidR="00483B7D" w:rsidRDefault="00EC45F9">
      <w:pPr>
        <w:pStyle w:val="Afiliaciones"/>
      </w:pPr>
      <w:r>
        <w:rPr>
          <w:vertAlign w:val="superscript"/>
        </w:rPr>
        <w:t>2</w:t>
      </w:r>
      <w:r>
        <w:t xml:space="preserve"> Laboratorio de Acústica Aplicada y Vibraciones, Universidad B, España</w:t>
      </w:r>
    </w:p>
    <w:p w14:paraId="6C5800DD" w14:textId="77777777" w:rsidR="00483B7D" w:rsidRDefault="00EC45F9">
      <w:pPr>
        <w:pStyle w:val="Afiliaciones"/>
      </w:pPr>
      <w:r>
        <w:rPr>
          <w:vertAlign w:val="superscript"/>
        </w:rPr>
        <w:t>3</w:t>
      </w:r>
      <w:r>
        <w:t xml:space="preserve"> </w:t>
      </w:r>
      <w:proofErr w:type="spellStart"/>
      <w:r>
        <w:t>Laboratório</w:t>
      </w:r>
      <w:proofErr w:type="spellEnd"/>
      <w:r>
        <w:t xml:space="preserve"> de </w:t>
      </w:r>
      <w:proofErr w:type="spellStart"/>
      <w:r>
        <w:t>Engenharia</w:t>
      </w:r>
      <w:proofErr w:type="spellEnd"/>
      <w:r>
        <w:t xml:space="preserve"> Acústica, </w:t>
      </w:r>
      <w:proofErr w:type="spellStart"/>
      <w:r>
        <w:t>Faculdade</w:t>
      </w:r>
      <w:proofErr w:type="spellEnd"/>
      <w:r>
        <w:t xml:space="preserve"> de </w:t>
      </w:r>
      <w:proofErr w:type="spellStart"/>
      <w:r>
        <w:t>Engenharia</w:t>
      </w:r>
      <w:proofErr w:type="spellEnd"/>
      <w:r>
        <w:t>, Universidade C, Portugal</w:t>
      </w:r>
    </w:p>
    <w:p w14:paraId="2A3273EC" w14:textId="1B10A382" w:rsidR="00483B7D" w:rsidRDefault="00EC45F9" w:rsidP="0060096E">
      <w:pPr>
        <w:pStyle w:val="Afiliaciones"/>
        <w:spacing w:before="85"/>
      </w:pPr>
      <w:r>
        <w:rPr>
          <w:vertAlign w:val="superscript"/>
        </w:rPr>
        <w:t>*</w:t>
      </w:r>
      <w:r>
        <w:t xml:space="preserve"> Autor de correspondencia: </w:t>
      </w:r>
      <w:hyperlink r:id="rId7" w:history="1">
        <w:r w:rsidR="0060096E" w:rsidRPr="001B0738">
          <w:rPr>
            <w:rStyle w:val="Hipervnculo"/>
          </w:rPr>
          <w:t>correo@email.es</w:t>
        </w:r>
      </w:hyperlink>
    </w:p>
    <w:p w14:paraId="0C61ED08" w14:textId="77777777" w:rsidR="0060096E" w:rsidRDefault="0060096E" w:rsidP="0060096E">
      <w:pPr>
        <w:pStyle w:val="Afiliaciones"/>
        <w:spacing w:before="85"/>
      </w:pPr>
    </w:p>
    <w:p w14:paraId="0466C2DA" w14:textId="7A1D9DBD" w:rsidR="00483B7D" w:rsidRDefault="00EC45F9">
      <w:pPr>
        <w:pStyle w:val="ResumenAbstract"/>
      </w:pPr>
      <w:r>
        <w:rPr>
          <w:b/>
          <w:bCs/>
        </w:rPr>
        <w:t xml:space="preserve">Resumen. </w:t>
      </w:r>
      <w:r>
        <w:t xml:space="preserve">Este documento es la plantilla oficial </w:t>
      </w:r>
      <w:r w:rsidR="00A67343">
        <w:t xml:space="preserve">a seguir </w:t>
      </w:r>
      <w:r>
        <w:t>para</w:t>
      </w:r>
      <w:r w:rsidR="00A67343">
        <w:t xml:space="preserve"> la preparación de</w:t>
      </w:r>
      <w:r>
        <w:t xml:space="preserve"> los artículos del XIV Congreso Ibérico de Acústica y 57</w:t>
      </w:r>
      <w:r>
        <w:rPr>
          <w:vertAlign w:val="superscript"/>
        </w:rPr>
        <w:t>o</w:t>
      </w:r>
      <w:r>
        <w:t xml:space="preserve"> Congreso Español de Acústica, </w:t>
      </w:r>
      <w:proofErr w:type="spellStart"/>
      <w:r>
        <w:t>TecniAcústica</w:t>
      </w:r>
      <w:proofErr w:type="spellEnd"/>
      <w:r>
        <w:t xml:space="preserve"> 2026, que se celebrará en Granada del 21 al 23 de octubre de 2026. La plantilla está disponible en LaTeX y en Word, con un aspecto visualmente equivalente, para garantizar la uniformidad de las Actas con independencia de la herramienta empleada. El resumen debe sintetizar de forma clara y concisa los objetivos, la metodología, los principales resultados y las conclusiones del trabajo, sin exceder las 250 palabras y sin incluir ecuaciones, figuras, referencias numéricas ni notas al pie. </w:t>
      </w:r>
      <w:r w:rsidR="00A67343">
        <w:t xml:space="preserve">Los resúmenes no deberían continuar en la página 2. </w:t>
      </w:r>
      <w:r>
        <w:t xml:space="preserve">Los artículos podrán redactarse en español, portugués o inglés. En todos los casos </w:t>
      </w:r>
      <w:r w:rsidR="00CA635B">
        <w:t>es</w:t>
      </w:r>
      <w:r>
        <w:t xml:space="preserve"> obligatorio</w:t>
      </w:r>
      <w:r w:rsidR="00CA635B">
        <w:t xml:space="preserve"> </w:t>
      </w:r>
      <w:r w:rsidR="002F6A67">
        <w:t>incluir</w:t>
      </w:r>
      <w:r>
        <w:t xml:space="preserve"> un resumen en la lengua del trabajo, un </w:t>
      </w:r>
      <w:proofErr w:type="spellStart"/>
      <w:r>
        <w:t>abstract</w:t>
      </w:r>
      <w:proofErr w:type="spellEnd"/>
      <w:r>
        <w:t xml:space="preserve"> en inglés</w:t>
      </w:r>
      <w:r w:rsidR="00CA635B">
        <w:t xml:space="preserve"> y</w:t>
      </w:r>
      <w:r>
        <w:t xml:space="preserve"> las palabras clave en ambos idiomas. La extensión del artículo completo debe situarse entre cuatro y ocho páginas, incluyendo figuras, tablas y referencias.</w:t>
      </w:r>
    </w:p>
    <w:p w14:paraId="2EF9EE3B" w14:textId="77777777" w:rsidR="00483B7D" w:rsidRDefault="00EC45F9">
      <w:pPr>
        <w:pStyle w:val="PalabrasclaveKeywords"/>
      </w:pPr>
      <w:r>
        <w:rPr>
          <w:b/>
          <w:bCs/>
        </w:rPr>
        <w:t xml:space="preserve">Palabras clave: </w:t>
      </w:r>
      <w:r>
        <w:rPr>
          <w:i/>
          <w:iCs/>
        </w:rPr>
        <w:t xml:space="preserve">acústica, indexación, plantilla, </w:t>
      </w:r>
      <w:proofErr w:type="spellStart"/>
      <w:r>
        <w:rPr>
          <w:i/>
          <w:iCs/>
        </w:rPr>
        <w:t>TecniAcústica</w:t>
      </w:r>
      <w:proofErr w:type="spellEnd"/>
      <w:r>
        <w:rPr>
          <w:i/>
          <w:iCs/>
        </w:rPr>
        <w:t xml:space="preserve"> 2026</w:t>
      </w:r>
    </w:p>
    <w:p w14:paraId="74377DCE" w14:textId="0892B39C" w:rsidR="00483B7D" w:rsidRDefault="00EC45F9">
      <w:pPr>
        <w:pStyle w:val="ResumenAbstract"/>
      </w:pPr>
      <w:proofErr w:type="spellStart"/>
      <w:r>
        <w:rPr>
          <w:b/>
          <w:bCs/>
        </w:rPr>
        <w:t>Abstract</w:t>
      </w:r>
      <w:proofErr w:type="spellEnd"/>
      <w:r>
        <w:rPr>
          <w:b/>
          <w:bCs/>
        </w:rPr>
        <w:t xml:space="preserve">. </w:t>
      </w:r>
      <w:proofErr w:type="spellStart"/>
      <w:r>
        <w:t>This</w:t>
      </w:r>
      <w:proofErr w:type="spellEnd"/>
      <w:r>
        <w:t xml:space="preserve"> </w:t>
      </w:r>
      <w:proofErr w:type="spellStart"/>
      <w:r>
        <w:t>document</w:t>
      </w:r>
      <w:proofErr w:type="spellEnd"/>
      <w:r>
        <w:t xml:space="preserve"> </w:t>
      </w:r>
      <w:proofErr w:type="spellStart"/>
      <w:r>
        <w:t>is</w:t>
      </w:r>
      <w:proofErr w:type="spellEnd"/>
      <w:r>
        <w:t xml:space="preserve"> </w:t>
      </w:r>
      <w:proofErr w:type="spellStart"/>
      <w:r>
        <w:t>the</w:t>
      </w:r>
      <w:proofErr w:type="spellEnd"/>
      <w:r>
        <w:t xml:space="preserve"> </w:t>
      </w:r>
      <w:proofErr w:type="spellStart"/>
      <w:r>
        <w:t>official</w:t>
      </w:r>
      <w:proofErr w:type="spellEnd"/>
      <w:r>
        <w:t xml:space="preserve"> </w:t>
      </w:r>
      <w:proofErr w:type="spellStart"/>
      <w:r>
        <w:t>template</w:t>
      </w:r>
      <w:proofErr w:type="spellEnd"/>
      <w:r>
        <w:t xml:space="preserve"> </w:t>
      </w:r>
      <w:proofErr w:type="spellStart"/>
      <w:r>
        <w:t>for</w:t>
      </w:r>
      <w:proofErr w:type="spellEnd"/>
      <w:r>
        <w:t xml:space="preserve"> </w:t>
      </w:r>
      <w:proofErr w:type="spellStart"/>
      <w:r>
        <w:t>papers</w:t>
      </w:r>
      <w:proofErr w:type="spellEnd"/>
      <w:r>
        <w:t xml:space="preserve"> </w:t>
      </w:r>
      <w:proofErr w:type="spellStart"/>
      <w:r>
        <w:t>of</w:t>
      </w:r>
      <w:proofErr w:type="spellEnd"/>
      <w:r>
        <w:t xml:space="preserve"> </w:t>
      </w:r>
      <w:proofErr w:type="spellStart"/>
      <w:r>
        <w:t>the</w:t>
      </w:r>
      <w:proofErr w:type="spellEnd"/>
      <w:r>
        <w:t xml:space="preserve"> 14</w:t>
      </w:r>
      <w:r>
        <w:rPr>
          <w:vertAlign w:val="superscript"/>
        </w:rPr>
        <w:t>th</w:t>
      </w:r>
      <w:r>
        <w:t xml:space="preserve"> </w:t>
      </w:r>
      <w:proofErr w:type="spellStart"/>
      <w:r>
        <w:t>Iberian</w:t>
      </w:r>
      <w:proofErr w:type="spellEnd"/>
      <w:r>
        <w:t xml:space="preserve"> Congress </w:t>
      </w:r>
      <w:proofErr w:type="spellStart"/>
      <w:r>
        <w:t>on</w:t>
      </w:r>
      <w:proofErr w:type="spellEnd"/>
      <w:r>
        <w:t xml:space="preserve"> </w:t>
      </w:r>
      <w:proofErr w:type="spellStart"/>
      <w:r>
        <w:t>Acoustics</w:t>
      </w:r>
      <w:proofErr w:type="spellEnd"/>
      <w:r>
        <w:t xml:space="preserve"> and 57</w:t>
      </w:r>
      <w:r>
        <w:rPr>
          <w:vertAlign w:val="superscript"/>
        </w:rPr>
        <w:t>th</w:t>
      </w:r>
      <w:r>
        <w:t xml:space="preserve"> Spanish Congress </w:t>
      </w:r>
      <w:proofErr w:type="spellStart"/>
      <w:r>
        <w:t>on</w:t>
      </w:r>
      <w:proofErr w:type="spellEnd"/>
      <w:r>
        <w:t xml:space="preserve"> </w:t>
      </w:r>
      <w:proofErr w:type="spellStart"/>
      <w:r>
        <w:t>Acoustics</w:t>
      </w:r>
      <w:proofErr w:type="spellEnd"/>
      <w:r>
        <w:t xml:space="preserve">, </w:t>
      </w:r>
      <w:proofErr w:type="spellStart"/>
      <w:r>
        <w:t>TecniAcústica</w:t>
      </w:r>
      <w:proofErr w:type="spellEnd"/>
      <w:r>
        <w:t xml:space="preserve"> 2026, </w:t>
      </w:r>
      <w:proofErr w:type="spellStart"/>
      <w:r>
        <w:t>to</w:t>
      </w:r>
      <w:proofErr w:type="spellEnd"/>
      <w:r>
        <w:t xml:space="preserve"> be </w:t>
      </w:r>
      <w:proofErr w:type="spellStart"/>
      <w:r>
        <w:t>held</w:t>
      </w:r>
      <w:proofErr w:type="spellEnd"/>
      <w:r>
        <w:t xml:space="preserve"> in Granada </w:t>
      </w:r>
      <w:proofErr w:type="spellStart"/>
      <w:r>
        <w:t>f</w:t>
      </w:r>
      <w:r w:rsidR="00CA635B">
        <w:t>rom</w:t>
      </w:r>
      <w:proofErr w:type="spellEnd"/>
      <w:r w:rsidR="00CA635B">
        <w:t xml:space="preserve"> </w:t>
      </w:r>
      <w:r>
        <w:t>October</w:t>
      </w:r>
      <w:r w:rsidR="00F6095A">
        <w:t xml:space="preserve"> 21st </w:t>
      </w:r>
      <w:proofErr w:type="spellStart"/>
      <w:r w:rsidR="00F6095A">
        <w:t>to</w:t>
      </w:r>
      <w:proofErr w:type="spellEnd"/>
      <w:r w:rsidR="00F6095A">
        <w:t xml:space="preserve"> 23rd</w:t>
      </w:r>
      <w:r>
        <w:t xml:space="preserve"> 2026. The </w:t>
      </w:r>
      <w:proofErr w:type="spellStart"/>
      <w:r>
        <w:t>template</w:t>
      </w:r>
      <w:proofErr w:type="spellEnd"/>
      <w:r>
        <w:t xml:space="preserve"> </w:t>
      </w:r>
      <w:proofErr w:type="spellStart"/>
      <w:r>
        <w:t>is</w:t>
      </w:r>
      <w:proofErr w:type="spellEnd"/>
      <w:r>
        <w:t xml:space="preserve"> </w:t>
      </w:r>
      <w:proofErr w:type="spellStart"/>
      <w:r>
        <w:t>available</w:t>
      </w:r>
      <w:proofErr w:type="spellEnd"/>
      <w:r>
        <w:t xml:space="preserve"> in </w:t>
      </w:r>
      <w:proofErr w:type="spellStart"/>
      <w:r>
        <w:t>both</w:t>
      </w:r>
      <w:proofErr w:type="spellEnd"/>
      <w:r>
        <w:t xml:space="preserve"> LaTeX and Word, </w:t>
      </w:r>
      <w:proofErr w:type="spellStart"/>
      <w:r>
        <w:t>with</w:t>
      </w:r>
      <w:proofErr w:type="spellEnd"/>
      <w:r>
        <w:t xml:space="preserve"> </w:t>
      </w:r>
      <w:proofErr w:type="spellStart"/>
      <w:r>
        <w:t>visually</w:t>
      </w:r>
      <w:proofErr w:type="spellEnd"/>
      <w:r>
        <w:t xml:space="preserve"> </w:t>
      </w:r>
      <w:proofErr w:type="spellStart"/>
      <w:r>
        <w:t>equivalent</w:t>
      </w:r>
      <w:proofErr w:type="spellEnd"/>
      <w:r>
        <w:t xml:space="preserve"> output, in </w:t>
      </w:r>
      <w:proofErr w:type="spellStart"/>
      <w:r>
        <w:t>order</w:t>
      </w:r>
      <w:proofErr w:type="spellEnd"/>
      <w:r>
        <w:t xml:space="preserve"> </w:t>
      </w:r>
      <w:proofErr w:type="spellStart"/>
      <w:r>
        <w:t>to</w:t>
      </w:r>
      <w:proofErr w:type="spellEnd"/>
      <w:r>
        <w:t xml:space="preserve"> </w:t>
      </w:r>
      <w:proofErr w:type="spellStart"/>
      <w:r>
        <w:t>ensure</w:t>
      </w:r>
      <w:proofErr w:type="spellEnd"/>
      <w:r>
        <w:t xml:space="preserve"> </w:t>
      </w:r>
      <w:proofErr w:type="spellStart"/>
      <w:r>
        <w:t>uniformity</w:t>
      </w:r>
      <w:proofErr w:type="spellEnd"/>
      <w:r>
        <w:t xml:space="preserve"> </w:t>
      </w:r>
      <w:proofErr w:type="spellStart"/>
      <w:r>
        <w:t>of</w:t>
      </w:r>
      <w:proofErr w:type="spellEnd"/>
      <w:r>
        <w:t xml:space="preserve"> </w:t>
      </w:r>
      <w:proofErr w:type="spellStart"/>
      <w:r>
        <w:t>the</w:t>
      </w:r>
      <w:proofErr w:type="spellEnd"/>
      <w:r>
        <w:t xml:space="preserve"> </w:t>
      </w:r>
      <w:proofErr w:type="spellStart"/>
      <w:r>
        <w:t>Proceedings</w:t>
      </w:r>
      <w:proofErr w:type="spellEnd"/>
      <w:r>
        <w:t xml:space="preserve"> </w:t>
      </w:r>
      <w:proofErr w:type="spellStart"/>
      <w:r>
        <w:t>regardless</w:t>
      </w:r>
      <w:proofErr w:type="spellEnd"/>
      <w:r>
        <w:t xml:space="preserve"> </w:t>
      </w:r>
      <w:proofErr w:type="spellStart"/>
      <w:r>
        <w:t>of</w:t>
      </w:r>
      <w:proofErr w:type="spellEnd"/>
      <w:r>
        <w:t xml:space="preserve"> </w:t>
      </w:r>
      <w:proofErr w:type="spellStart"/>
      <w:r>
        <w:t>the</w:t>
      </w:r>
      <w:proofErr w:type="spellEnd"/>
      <w:r>
        <w:t xml:space="preserve"> </w:t>
      </w:r>
      <w:proofErr w:type="spellStart"/>
      <w:r>
        <w:t>tool</w:t>
      </w:r>
      <w:proofErr w:type="spellEnd"/>
      <w:r>
        <w:t xml:space="preserve"> </w:t>
      </w:r>
      <w:proofErr w:type="spellStart"/>
      <w:r>
        <w:t>used</w:t>
      </w:r>
      <w:proofErr w:type="spellEnd"/>
      <w:r>
        <w:t xml:space="preserve">. The </w:t>
      </w:r>
      <w:proofErr w:type="spellStart"/>
      <w:r>
        <w:t>abstract</w:t>
      </w:r>
      <w:proofErr w:type="spellEnd"/>
      <w:r>
        <w:t xml:space="preserve"> </w:t>
      </w:r>
      <w:proofErr w:type="spellStart"/>
      <w:r>
        <w:t>should</w:t>
      </w:r>
      <w:proofErr w:type="spellEnd"/>
      <w:r>
        <w:t xml:space="preserve"> </w:t>
      </w:r>
      <w:proofErr w:type="spellStart"/>
      <w:r>
        <w:t>clearly</w:t>
      </w:r>
      <w:proofErr w:type="spellEnd"/>
      <w:r>
        <w:t xml:space="preserve"> and </w:t>
      </w:r>
      <w:proofErr w:type="spellStart"/>
      <w:r>
        <w:t>concisely</w:t>
      </w:r>
      <w:proofErr w:type="spellEnd"/>
      <w:r>
        <w:t xml:space="preserve"> </w:t>
      </w:r>
      <w:proofErr w:type="spellStart"/>
      <w:r>
        <w:t>summarise</w:t>
      </w:r>
      <w:proofErr w:type="spellEnd"/>
      <w:r>
        <w:t xml:space="preserve"> </w:t>
      </w:r>
      <w:proofErr w:type="spellStart"/>
      <w:r>
        <w:t>the</w:t>
      </w:r>
      <w:proofErr w:type="spellEnd"/>
      <w:r>
        <w:t xml:space="preserve"> </w:t>
      </w:r>
      <w:proofErr w:type="spellStart"/>
      <w:r>
        <w:t>objectives</w:t>
      </w:r>
      <w:proofErr w:type="spellEnd"/>
      <w:r>
        <w:t xml:space="preserve">, </w:t>
      </w:r>
      <w:proofErr w:type="spellStart"/>
      <w:r>
        <w:t>methodology</w:t>
      </w:r>
      <w:proofErr w:type="spellEnd"/>
      <w:r>
        <w:t xml:space="preserve">, </w:t>
      </w:r>
      <w:proofErr w:type="spellStart"/>
      <w:r>
        <w:t>main</w:t>
      </w:r>
      <w:proofErr w:type="spellEnd"/>
      <w:r>
        <w:t xml:space="preserve"> </w:t>
      </w:r>
      <w:proofErr w:type="spellStart"/>
      <w:r>
        <w:t>results</w:t>
      </w:r>
      <w:proofErr w:type="spellEnd"/>
      <w:r>
        <w:t xml:space="preserve"> and </w:t>
      </w:r>
      <w:proofErr w:type="spellStart"/>
      <w:r>
        <w:t>conclusions</w:t>
      </w:r>
      <w:proofErr w:type="spellEnd"/>
      <w:r>
        <w:t xml:space="preserve"> </w:t>
      </w:r>
      <w:proofErr w:type="spellStart"/>
      <w:r>
        <w:t>of</w:t>
      </w:r>
      <w:proofErr w:type="spellEnd"/>
      <w:r>
        <w:t xml:space="preserve"> </w:t>
      </w:r>
      <w:proofErr w:type="spellStart"/>
      <w:r>
        <w:t>the</w:t>
      </w:r>
      <w:proofErr w:type="spellEnd"/>
      <w:r>
        <w:t xml:space="preserve"> </w:t>
      </w:r>
      <w:proofErr w:type="spellStart"/>
      <w:r>
        <w:t>work</w:t>
      </w:r>
      <w:proofErr w:type="spellEnd"/>
      <w:r>
        <w:t xml:space="preserve">, </w:t>
      </w:r>
      <w:proofErr w:type="spellStart"/>
      <w:r>
        <w:t>without</w:t>
      </w:r>
      <w:proofErr w:type="spellEnd"/>
      <w:r>
        <w:t xml:space="preserve"> </w:t>
      </w:r>
      <w:proofErr w:type="spellStart"/>
      <w:r>
        <w:t>exceeding</w:t>
      </w:r>
      <w:proofErr w:type="spellEnd"/>
      <w:r>
        <w:t xml:space="preserve"> 250 </w:t>
      </w:r>
      <w:proofErr w:type="spellStart"/>
      <w:r>
        <w:t>words</w:t>
      </w:r>
      <w:proofErr w:type="spellEnd"/>
      <w:r>
        <w:t xml:space="preserve"> and </w:t>
      </w:r>
      <w:proofErr w:type="spellStart"/>
      <w:r>
        <w:t>without</w:t>
      </w:r>
      <w:proofErr w:type="spellEnd"/>
      <w:r>
        <w:t xml:space="preserve"> </w:t>
      </w:r>
      <w:proofErr w:type="spellStart"/>
      <w:r>
        <w:t>including</w:t>
      </w:r>
      <w:proofErr w:type="spellEnd"/>
      <w:r>
        <w:t xml:space="preserve"> </w:t>
      </w:r>
      <w:proofErr w:type="spellStart"/>
      <w:r>
        <w:t>equations</w:t>
      </w:r>
      <w:proofErr w:type="spellEnd"/>
      <w:r>
        <w:t xml:space="preserve">, figures, </w:t>
      </w:r>
      <w:proofErr w:type="spellStart"/>
      <w:r>
        <w:t>numbered</w:t>
      </w:r>
      <w:proofErr w:type="spellEnd"/>
      <w:r>
        <w:t xml:space="preserve"> </w:t>
      </w:r>
      <w:proofErr w:type="spellStart"/>
      <w:r>
        <w:t>references</w:t>
      </w:r>
      <w:proofErr w:type="spellEnd"/>
      <w:r>
        <w:t xml:space="preserve"> </w:t>
      </w:r>
      <w:proofErr w:type="spellStart"/>
      <w:r>
        <w:t>or</w:t>
      </w:r>
      <w:proofErr w:type="spellEnd"/>
      <w:r>
        <w:t xml:space="preserve"> </w:t>
      </w:r>
      <w:proofErr w:type="spellStart"/>
      <w:r>
        <w:t>footnotes</w:t>
      </w:r>
      <w:proofErr w:type="spellEnd"/>
      <w:r>
        <w:t xml:space="preserve">. </w:t>
      </w:r>
      <w:r w:rsidR="0009521E">
        <w:t xml:space="preserve">The </w:t>
      </w:r>
      <w:proofErr w:type="spellStart"/>
      <w:r w:rsidR="0009521E">
        <w:t>abstracts</w:t>
      </w:r>
      <w:proofErr w:type="spellEnd"/>
      <w:r w:rsidR="0009521E">
        <w:t xml:space="preserve"> </w:t>
      </w:r>
      <w:proofErr w:type="spellStart"/>
      <w:r w:rsidR="0009521E">
        <w:t>should</w:t>
      </w:r>
      <w:proofErr w:type="spellEnd"/>
      <w:r w:rsidR="0009521E">
        <w:t xml:space="preserve"> </w:t>
      </w:r>
      <w:proofErr w:type="spellStart"/>
      <w:r w:rsidR="0009521E">
        <w:t>not</w:t>
      </w:r>
      <w:proofErr w:type="spellEnd"/>
      <w:r w:rsidR="0009521E">
        <w:t xml:space="preserve"> continue </w:t>
      </w:r>
      <w:proofErr w:type="spellStart"/>
      <w:r w:rsidR="0009521E">
        <w:t>to</w:t>
      </w:r>
      <w:proofErr w:type="spellEnd"/>
      <w:r w:rsidR="0009521E">
        <w:t xml:space="preserve"> page 2. </w:t>
      </w:r>
      <w:proofErr w:type="spellStart"/>
      <w:r>
        <w:t>Papers</w:t>
      </w:r>
      <w:proofErr w:type="spellEnd"/>
      <w:r>
        <w:t xml:space="preserve"> </w:t>
      </w:r>
      <w:proofErr w:type="spellStart"/>
      <w:r>
        <w:t>may</w:t>
      </w:r>
      <w:proofErr w:type="spellEnd"/>
      <w:r>
        <w:t xml:space="preserve"> be </w:t>
      </w:r>
      <w:proofErr w:type="spellStart"/>
      <w:r>
        <w:t>written</w:t>
      </w:r>
      <w:proofErr w:type="spellEnd"/>
      <w:r>
        <w:t xml:space="preserve"> in Spanish, Portuguese </w:t>
      </w:r>
      <w:proofErr w:type="spellStart"/>
      <w:r>
        <w:t>or</w:t>
      </w:r>
      <w:proofErr w:type="spellEnd"/>
      <w:r>
        <w:t xml:space="preserve"> English. </w:t>
      </w:r>
      <w:r w:rsidRPr="001C615B">
        <w:t xml:space="preserve">In </w:t>
      </w:r>
      <w:proofErr w:type="spellStart"/>
      <w:r w:rsidRPr="001C615B">
        <w:t>all</w:t>
      </w:r>
      <w:proofErr w:type="spellEnd"/>
      <w:r w:rsidRPr="001C615B">
        <w:t xml:space="preserve"> cases, </w:t>
      </w:r>
      <w:proofErr w:type="spellStart"/>
      <w:r w:rsidRPr="001C615B">
        <w:t>an</w:t>
      </w:r>
      <w:proofErr w:type="spellEnd"/>
      <w:r w:rsidRPr="001C615B">
        <w:t xml:space="preserve"> </w:t>
      </w:r>
      <w:proofErr w:type="spellStart"/>
      <w:r w:rsidRPr="001C615B">
        <w:t>abstract</w:t>
      </w:r>
      <w:proofErr w:type="spellEnd"/>
      <w:r w:rsidRPr="001C615B">
        <w:t xml:space="preserve"> in </w:t>
      </w:r>
      <w:proofErr w:type="spellStart"/>
      <w:r w:rsidRPr="001C615B">
        <w:t>the</w:t>
      </w:r>
      <w:proofErr w:type="spellEnd"/>
      <w:r w:rsidRPr="001C615B">
        <w:t xml:space="preserve"> </w:t>
      </w:r>
      <w:proofErr w:type="spellStart"/>
      <w:r w:rsidRPr="001C615B">
        <w:t>language</w:t>
      </w:r>
      <w:proofErr w:type="spellEnd"/>
      <w:r w:rsidRPr="001C615B">
        <w:t xml:space="preserve"> </w:t>
      </w:r>
      <w:proofErr w:type="spellStart"/>
      <w:r w:rsidRPr="001C615B">
        <w:t>of</w:t>
      </w:r>
      <w:proofErr w:type="spellEnd"/>
      <w:r w:rsidRPr="001C615B">
        <w:t xml:space="preserve"> </w:t>
      </w:r>
      <w:proofErr w:type="spellStart"/>
      <w:r w:rsidRPr="001C615B">
        <w:t>the</w:t>
      </w:r>
      <w:proofErr w:type="spellEnd"/>
      <w:r w:rsidRPr="001C615B">
        <w:t xml:space="preserve"> </w:t>
      </w:r>
      <w:proofErr w:type="spellStart"/>
      <w:r w:rsidRPr="001C615B">
        <w:t>paper</w:t>
      </w:r>
      <w:proofErr w:type="spellEnd"/>
      <w:r w:rsidRPr="001C615B">
        <w:t xml:space="preserve">, </w:t>
      </w:r>
      <w:proofErr w:type="spellStart"/>
      <w:r w:rsidRPr="001C615B">
        <w:t>an</w:t>
      </w:r>
      <w:proofErr w:type="spellEnd"/>
      <w:r w:rsidRPr="001C615B">
        <w:t xml:space="preserve"> </w:t>
      </w:r>
      <w:proofErr w:type="spellStart"/>
      <w:r w:rsidRPr="001C615B">
        <w:t>abstract</w:t>
      </w:r>
      <w:proofErr w:type="spellEnd"/>
      <w:r w:rsidRPr="001C615B">
        <w:t xml:space="preserve"> in English</w:t>
      </w:r>
      <w:r w:rsidR="0009521E" w:rsidRPr="001C615B">
        <w:t xml:space="preserve"> and</w:t>
      </w:r>
      <w:r w:rsidRPr="001C615B">
        <w:t xml:space="preserve"> </w:t>
      </w:r>
      <w:proofErr w:type="spellStart"/>
      <w:r w:rsidRPr="001C615B">
        <w:t>keywords</w:t>
      </w:r>
      <w:proofErr w:type="spellEnd"/>
      <w:r w:rsidRPr="001C615B">
        <w:t xml:space="preserve"> in </w:t>
      </w:r>
      <w:proofErr w:type="spellStart"/>
      <w:r w:rsidRPr="001C615B">
        <w:t>both</w:t>
      </w:r>
      <w:proofErr w:type="spellEnd"/>
      <w:r w:rsidRPr="001C615B">
        <w:t xml:space="preserve"> </w:t>
      </w:r>
      <w:proofErr w:type="spellStart"/>
      <w:r w:rsidRPr="001C615B">
        <w:t>languages</w:t>
      </w:r>
      <w:proofErr w:type="spellEnd"/>
      <w:r w:rsidRPr="001C615B">
        <w:t xml:space="preserve"> are </w:t>
      </w:r>
      <w:proofErr w:type="spellStart"/>
      <w:r w:rsidRPr="001C615B">
        <w:t>mandatory</w:t>
      </w:r>
      <w:proofErr w:type="spellEnd"/>
      <w:r w:rsidRPr="001C615B">
        <w:t xml:space="preserve">. </w:t>
      </w:r>
      <w:r>
        <w:t xml:space="preserve">The full </w:t>
      </w:r>
      <w:proofErr w:type="spellStart"/>
      <w:r>
        <w:t>length</w:t>
      </w:r>
      <w:proofErr w:type="spellEnd"/>
      <w:r>
        <w:t xml:space="preserve"> </w:t>
      </w:r>
      <w:proofErr w:type="spellStart"/>
      <w:r>
        <w:t>of</w:t>
      </w:r>
      <w:proofErr w:type="spellEnd"/>
      <w:r>
        <w:t xml:space="preserve"> </w:t>
      </w:r>
      <w:proofErr w:type="spellStart"/>
      <w:r>
        <w:t>the</w:t>
      </w:r>
      <w:proofErr w:type="spellEnd"/>
      <w:r>
        <w:t xml:space="preserve"> </w:t>
      </w:r>
      <w:proofErr w:type="spellStart"/>
      <w:r>
        <w:t>paper</w:t>
      </w:r>
      <w:proofErr w:type="spellEnd"/>
      <w:r>
        <w:t xml:space="preserve"> </w:t>
      </w:r>
      <w:proofErr w:type="spellStart"/>
      <w:r>
        <w:t>must</w:t>
      </w:r>
      <w:proofErr w:type="spellEnd"/>
      <w:r>
        <w:t xml:space="preserve"> be </w:t>
      </w:r>
      <w:proofErr w:type="spellStart"/>
      <w:r>
        <w:t>between</w:t>
      </w:r>
      <w:proofErr w:type="spellEnd"/>
      <w:r>
        <w:t xml:space="preserve"> </w:t>
      </w:r>
      <w:proofErr w:type="spellStart"/>
      <w:r>
        <w:t>four</w:t>
      </w:r>
      <w:proofErr w:type="spellEnd"/>
      <w:r>
        <w:t xml:space="preserve"> and </w:t>
      </w:r>
      <w:proofErr w:type="spellStart"/>
      <w:r>
        <w:t>eight</w:t>
      </w:r>
      <w:proofErr w:type="spellEnd"/>
      <w:r>
        <w:t xml:space="preserve"> </w:t>
      </w:r>
      <w:proofErr w:type="spellStart"/>
      <w:r>
        <w:t>pages</w:t>
      </w:r>
      <w:proofErr w:type="spellEnd"/>
      <w:r>
        <w:t xml:space="preserve">, </w:t>
      </w:r>
      <w:proofErr w:type="spellStart"/>
      <w:r>
        <w:t>including</w:t>
      </w:r>
      <w:proofErr w:type="spellEnd"/>
      <w:r>
        <w:t xml:space="preserve"> figures, tables and </w:t>
      </w:r>
      <w:proofErr w:type="spellStart"/>
      <w:r>
        <w:t>references</w:t>
      </w:r>
      <w:proofErr w:type="spellEnd"/>
      <w:r>
        <w:t>.</w:t>
      </w:r>
    </w:p>
    <w:p w14:paraId="61295956" w14:textId="77777777" w:rsidR="00483B7D" w:rsidRDefault="00EC45F9">
      <w:pPr>
        <w:pStyle w:val="PalabrasclaveKeywords"/>
      </w:pPr>
      <w:proofErr w:type="spellStart"/>
      <w:r>
        <w:rPr>
          <w:b/>
          <w:bCs/>
        </w:rPr>
        <w:t>Keywords</w:t>
      </w:r>
      <w:proofErr w:type="spellEnd"/>
      <w:r>
        <w:rPr>
          <w:b/>
          <w:bCs/>
        </w:rPr>
        <w:t xml:space="preserve">: </w:t>
      </w:r>
      <w:proofErr w:type="spellStart"/>
      <w:r>
        <w:rPr>
          <w:i/>
          <w:iCs/>
        </w:rPr>
        <w:t>acoustics</w:t>
      </w:r>
      <w:proofErr w:type="spellEnd"/>
      <w:r>
        <w:rPr>
          <w:i/>
          <w:iCs/>
        </w:rPr>
        <w:t xml:space="preserve">, </w:t>
      </w:r>
      <w:proofErr w:type="spellStart"/>
      <w:r>
        <w:rPr>
          <w:i/>
          <w:iCs/>
        </w:rPr>
        <w:t>indexing</w:t>
      </w:r>
      <w:proofErr w:type="spellEnd"/>
      <w:r>
        <w:rPr>
          <w:i/>
          <w:iCs/>
        </w:rPr>
        <w:t xml:space="preserve">, </w:t>
      </w:r>
      <w:proofErr w:type="spellStart"/>
      <w:r>
        <w:rPr>
          <w:i/>
          <w:iCs/>
        </w:rPr>
        <w:t>template</w:t>
      </w:r>
      <w:proofErr w:type="spellEnd"/>
      <w:r>
        <w:rPr>
          <w:i/>
          <w:iCs/>
        </w:rPr>
        <w:t xml:space="preserve">, </w:t>
      </w:r>
      <w:proofErr w:type="spellStart"/>
      <w:r>
        <w:rPr>
          <w:i/>
          <w:iCs/>
        </w:rPr>
        <w:t>TecniAcústica</w:t>
      </w:r>
      <w:proofErr w:type="spellEnd"/>
      <w:r>
        <w:rPr>
          <w:i/>
          <w:iCs/>
        </w:rPr>
        <w:t xml:space="preserve"> 2026</w:t>
      </w:r>
    </w:p>
    <w:p w14:paraId="0A37501D" w14:textId="77777777" w:rsidR="00483B7D" w:rsidRDefault="00EC45F9">
      <w:r>
        <w:br w:type="page"/>
      </w:r>
    </w:p>
    <w:p w14:paraId="218C1D73" w14:textId="77777777" w:rsidR="00483B7D" w:rsidRDefault="00EC45F9">
      <w:pPr>
        <w:pStyle w:val="heading10"/>
      </w:pPr>
      <w:r>
        <w:lastRenderedPageBreak/>
        <w:t>Introducción</w:t>
      </w:r>
    </w:p>
    <w:p w14:paraId="4994B1F1" w14:textId="49503C25" w:rsidR="00483B7D" w:rsidRDefault="00EC45F9">
      <w:r>
        <w:t>Estas instrucciones describen el formato exigido para los artículos enviados a</w:t>
      </w:r>
      <w:r w:rsidR="001C615B">
        <w:t>l Congreso</w:t>
      </w:r>
      <w:r>
        <w:t xml:space="preserve"> </w:t>
      </w:r>
      <w:proofErr w:type="spellStart"/>
      <w:r>
        <w:t>TecniAcústica</w:t>
      </w:r>
      <w:proofErr w:type="spellEnd"/>
      <w:r>
        <w:t xml:space="preserve"> 2026. Su finalidad es garantizar la uniformidad de las Actas y facilitar su asignación de DOIs. Se recomienda redactar el artículo directamente sobre esta plantilla, sustituyendo el texto de ejemplo por el contenido propio y respetando los estilos predefinidos. Todos los elementos del documento (título, autores, afiliaciones, resumen, encabezados, cuerpo</w:t>
      </w:r>
      <w:r w:rsidR="001C615B">
        <w:t xml:space="preserve"> del texto</w:t>
      </w:r>
      <w:r>
        <w:t>, pies de figura y referencias) tienen asociado un estilo de párrafo de Word; utilice siempre dichos estilos en lugar de aplicar formato manual.</w:t>
      </w:r>
    </w:p>
    <w:p w14:paraId="61BC49C0" w14:textId="78461F52" w:rsidR="00483B7D" w:rsidRDefault="00EC45F9">
      <w:r>
        <w:t xml:space="preserve">Los artículos podrán redactarse en </w:t>
      </w:r>
      <w:r>
        <w:rPr>
          <w:b/>
          <w:bCs/>
        </w:rPr>
        <w:t>español</w:t>
      </w:r>
      <w:r>
        <w:t xml:space="preserve">, </w:t>
      </w:r>
      <w:r>
        <w:rPr>
          <w:b/>
          <w:bCs/>
        </w:rPr>
        <w:t>portugués</w:t>
      </w:r>
      <w:r>
        <w:t xml:space="preserve"> o </w:t>
      </w:r>
      <w:r>
        <w:rPr>
          <w:b/>
          <w:bCs/>
        </w:rPr>
        <w:t>inglés</w:t>
      </w:r>
      <w:r>
        <w:t xml:space="preserve">. Con independencia de la lengua del cuerpo del texto, serán siempre obligatorios un resumen en la lengua del trabajo, un </w:t>
      </w:r>
      <w:proofErr w:type="spellStart"/>
      <w:r>
        <w:t>abstract</w:t>
      </w:r>
      <w:proofErr w:type="spellEnd"/>
      <w:r>
        <w:t xml:space="preserve"> en inglés</w:t>
      </w:r>
      <w:r w:rsidR="009E519E">
        <w:t xml:space="preserve"> y</w:t>
      </w:r>
      <w:r>
        <w:t xml:space="preserve"> las palabras clave en ambos idiomas. Se recomienda el uso exclusivo de unidades del Sistema Internacional (SI); cuando se empleen unidades ajenas al SI, deberá indicarse su equivalencia entre paréntesis.</w:t>
      </w:r>
    </w:p>
    <w:p w14:paraId="21BBD2AB" w14:textId="77777777" w:rsidR="00483B7D" w:rsidRDefault="00EC45F9">
      <w:pPr>
        <w:pStyle w:val="heading10"/>
      </w:pPr>
      <w:r>
        <w:t>Estructura de la primera página</w:t>
      </w:r>
    </w:p>
    <w:p w14:paraId="62029C44" w14:textId="77777777" w:rsidR="00483B7D" w:rsidRDefault="00EC45F9">
      <w:r>
        <w:t xml:space="preserve">La primera página funciona como portada y su disposición es fija. El </w:t>
      </w:r>
      <w:r>
        <w:rPr>
          <w:b/>
          <w:bCs/>
        </w:rPr>
        <w:t>banner</w:t>
      </w:r>
      <w:r>
        <w:t xml:space="preserve"> del congreso y los </w:t>
      </w:r>
      <w:r>
        <w:rPr>
          <w:b/>
          <w:bCs/>
        </w:rPr>
        <w:t>logotipos</w:t>
      </w:r>
      <w:r>
        <w:t xml:space="preserve"> de las sociedades organizadoras aparecen </w:t>
      </w:r>
      <w:r>
        <w:rPr>
          <w:i/>
          <w:iCs/>
        </w:rPr>
        <w:t>únicamente</w:t>
      </w:r>
      <w:r>
        <w:t xml:space="preserve"> en esta página: el banner en la cabecera y los logotipos en el pie, sobre la nota de copyright. El resto de páginas no llevan banner ni logotipos, sino una cabecera con los apellidos de los autores (páginas pares) o el nombre y las fechas del congreso (páginas impares).</w:t>
      </w:r>
    </w:p>
    <w:p w14:paraId="6F23A890" w14:textId="0DCC3FEA" w:rsidR="00483B7D" w:rsidRDefault="00EC45F9">
      <w:r>
        <w:t>El orden de los elementos de la portada es: título, autores, afiliaciones, autor de correspondencia</w:t>
      </w:r>
      <w:r w:rsidR="00812FF1">
        <w:t>,</w:t>
      </w:r>
      <w:r>
        <w:t xml:space="preserve"> resumen</w:t>
      </w:r>
      <w:r w:rsidR="009E519E">
        <w:t xml:space="preserve"> y p</w:t>
      </w:r>
      <w:r w:rsidR="00812FF1">
        <w:t>alabras clave</w:t>
      </w:r>
      <w:r>
        <w:t xml:space="preserve">, </w:t>
      </w:r>
      <w:r w:rsidR="00812FF1">
        <w:t xml:space="preserve">y </w:t>
      </w:r>
      <w:proofErr w:type="spellStart"/>
      <w:r>
        <w:t>abstract</w:t>
      </w:r>
      <w:proofErr w:type="spellEnd"/>
      <w:r>
        <w:t xml:space="preserve"> y </w:t>
      </w:r>
      <w:proofErr w:type="spellStart"/>
      <w:r w:rsidR="00812FF1">
        <w:t>keywords</w:t>
      </w:r>
      <w:proofErr w:type="spellEnd"/>
      <w:r>
        <w:t>. El cuerpo</w:t>
      </w:r>
      <w:r w:rsidR="006249FB">
        <w:t xml:space="preserve"> del texto</w:t>
      </w:r>
      <w:r>
        <w:t xml:space="preserve"> del artículo comienza en la página siguiente: en esta plantilla de Word, la separación se consigue mediante un salto de página manual situado tras las palabras clave. Si el resumen y el </w:t>
      </w:r>
      <w:proofErr w:type="spellStart"/>
      <w:r>
        <w:t>abstract</w:t>
      </w:r>
      <w:proofErr w:type="spellEnd"/>
      <w:r>
        <w:t xml:space="preserve"> son de la máxima extensión y, por el número de autores o afiliaciones, se prolongan a la segunda página, elimine dicho salto y comience el cuerpo </w:t>
      </w:r>
      <w:r w:rsidR="00AC74ED">
        <w:t xml:space="preserve">del texto </w:t>
      </w:r>
      <w:r>
        <w:t>justo debajo de ellos. En todo caso, el título, los autores y las afiliaciones ocupan siempre la misma posición, sea cual sea la longitud del resumen, lo que mantiene la coherencia entre todos los artículos y la equivalencia con la plantilla de LaTeX.</w:t>
      </w:r>
    </w:p>
    <w:p w14:paraId="086B8895" w14:textId="77777777" w:rsidR="00483B7D" w:rsidRDefault="00EC45F9">
      <w:pPr>
        <w:pStyle w:val="heading10"/>
      </w:pPr>
      <w:r>
        <w:t>Formato de la comunicación</w:t>
      </w:r>
    </w:p>
    <w:p w14:paraId="0951C1CB" w14:textId="77777777" w:rsidR="00483B7D" w:rsidRDefault="00EC45F9">
      <w:pPr>
        <w:pStyle w:val="heading20"/>
      </w:pPr>
      <w:r>
        <w:t>Tamaño de página y márgenes</w:t>
      </w:r>
    </w:p>
    <w:p w14:paraId="341B5457" w14:textId="7A728EDF" w:rsidR="00483B7D" w:rsidRDefault="00EC45F9">
      <w:r>
        <w:t xml:space="preserve">Todos los artículos se prepararán en tamaño </w:t>
      </w:r>
      <w:r>
        <w:rPr>
          <w:b/>
          <w:bCs/>
        </w:rPr>
        <w:t>A4</w:t>
      </w:r>
      <w:r>
        <w:t xml:space="preserve"> (210 mm × 297 mm), con márgenes de 25 mm a izquierda y derecha y 35 mm </w:t>
      </w:r>
      <w:r w:rsidR="00A52BAA">
        <w:t xml:space="preserve">en los márgenes </w:t>
      </w:r>
      <w:r>
        <w:t xml:space="preserve">superior e inferior. El texto se dispone en </w:t>
      </w:r>
      <w:r>
        <w:rPr>
          <w:b/>
          <w:bCs/>
        </w:rPr>
        <w:t>una sola columna justificada</w:t>
      </w:r>
      <w:r>
        <w:t>. Estos valores están fijados en la plantilla y no deben modificarse.</w:t>
      </w:r>
    </w:p>
    <w:p w14:paraId="4F19B6C9" w14:textId="77777777" w:rsidR="00483B7D" w:rsidRDefault="00EC45F9">
      <w:pPr>
        <w:pStyle w:val="heading20"/>
      </w:pPr>
      <w:r>
        <w:t>Tipografía</w:t>
      </w:r>
    </w:p>
    <w:p w14:paraId="25B05AA7" w14:textId="4BD0EED7" w:rsidR="00483B7D" w:rsidRDefault="00EC45F9">
      <w:r>
        <w:t xml:space="preserve">La fuente del cuerpo del texto es Times New </w:t>
      </w:r>
      <w:proofErr w:type="spellStart"/>
      <w:r>
        <w:t>Roman</w:t>
      </w:r>
      <w:proofErr w:type="spellEnd"/>
      <w:r>
        <w:t xml:space="preserve"> a 11 pt con interlineado sencillo. No se utiliza sangría de primera línea; los párrafos se separan mediante un pequeño espacio vertical. El resumen y el </w:t>
      </w:r>
      <w:proofErr w:type="spellStart"/>
      <w:r>
        <w:t>abstract</w:t>
      </w:r>
      <w:proofErr w:type="spellEnd"/>
      <w:r>
        <w:t xml:space="preserve"> se componen a 10 pt para diferenciarlos del cuerpo</w:t>
      </w:r>
      <w:r w:rsidR="00567384">
        <w:t xml:space="preserve"> del texto</w:t>
      </w:r>
      <w:r>
        <w:t xml:space="preserve">. Estos formatos están recogidos en los estilos de Word «Normal» (cuerpo) y «Resumen / </w:t>
      </w:r>
      <w:proofErr w:type="spellStart"/>
      <w:r>
        <w:t>Abstract</w:t>
      </w:r>
      <w:proofErr w:type="spellEnd"/>
      <w:r>
        <w:t>». No modifique las fuentes, los tamaños ni los espaciados predefinidos.</w:t>
      </w:r>
    </w:p>
    <w:p w14:paraId="38D98DF1" w14:textId="77777777" w:rsidR="00483B7D" w:rsidRDefault="00EC45F9">
      <w:pPr>
        <w:pStyle w:val="heading20"/>
      </w:pPr>
      <w:r>
        <w:lastRenderedPageBreak/>
        <w:t>Cabeceras, pies y numeración</w:t>
      </w:r>
    </w:p>
    <w:p w14:paraId="6036FFB7" w14:textId="5E0E4467" w:rsidR="00483B7D" w:rsidRDefault="00EC45F9">
      <w:r>
        <w:t>Las páginas pares llevan</w:t>
      </w:r>
      <w:r w:rsidR="00567384">
        <w:t>,</w:t>
      </w:r>
      <w:r>
        <w:t xml:space="preserve"> en la cabecera</w:t>
      </w:r>
      <w:r w:rsidR="00567384">
        <w:t>,</w:t>
      </w:r>
      <w:r>
        <w:t xml:space="preserve"> los apellidos de los autores en formato abreviado, esto es, hasta tres autores, sus apellidos separados por coma y, para más de tres, el apellido del primero seguido de “, et al.”; las </w:t>
      </w:r>
      <w:r w:rsidR="00567384">
        <w:t xml:space="preserve">páginas </w:t>
      </w:r>
      <w:r>
        <w:t>impares</w:t>
      </w:r>
      <w:r w:rsidR="00567384">
        <w:t xml:space="preserve"> presentan</w:t>
      </w:r>
      <w:r>
        <w:t xml:space="preserve"> el nombre y las fechas del congreso. Las cabeceras ya están configuradas en la plantilla: edite únicamente los apellidos de la cabecera de las páginas pares (haga doble clic sobre ella para editarla). </w:t>
      </w:r>
      <w:r>
        <w:rPr>
          <w:b/>
          <w:bCs/>
        </w:rPr>
        <w:t>No numere las páginas</w:t>
      </w:r>
      <w:r>
        <w:t>: la numeración y el identificador los añadirá la organización al ensamblar el libro de actas. No introduzca contenido adicional en cabeceras o pies.</w:t>
      </w:r>
    </w:p>
    <w:p w14:paraId="63465421" w14:textId="77777777" w:rsidR="00483B7D" w:rsidRDefault="00EC45F9">
      <w:pPr>
        <w:pStyle w:val="heading20"/>
      </w:pPr>
      <w:r>
        <w:t>Encabezados de sección</w:t>
      </w:r>
    </w:p>
    <w:p w14:paraId="3B36BCF5" w14:textId="77777777" w:rsidR="00483B7D" w:rsidRDefault="00EC45F9">
      <w:r>
        <w:t>La plantilla admite hasta tres niveles de encabezado, numerados automáticamente mediante los estilos de Word «Título 1», «Título 2» y «Título 3». El nivel 1 se compone en 14 pt negrita; los niveles 2 y 3 en 11 pt negrita (el nivel 3, además, en cursiva, para diferenciarlo). Las secciones Agradecimientos y Referencias no se numeran: aplique en ellas el estilo «Título sin numerar». Se desaconseja el uso del tercer nivel salvo que sea imprescindible.</w:t>
      </w:r>
    </w:p>
    <w:p w14:paraId="453DA0DB" w14:textId="77777777" w:rsidR="00483B7D" w:rsidRDefault="00EC45F9">
      <w:pPr>
        <w:pStyle w:val="heading10"/>
      </w:pPr>
      <w:r>
        <w:t>Figuras, tablas y ecuaciones</w:t>
      </w:r>
    </w:p>
    <w:p w14:paraId="2A440BC7" w14:textId="77777777" w:rsidR="00483B7D" w:rsidRDefault="00EC45F9">
      <w:pPr>
        <w:pStyle w:val="heading20"/>
      </w:pPr>
      <w:r>
        <w:t>Figuras</w:t>
      </w:r>
    </w:p>
    <w:p w14:paraId="583B5719" w14:textId="55D72728" w:rsidR="00483B7D" w:rsidRDefault="00EC45F9">
      <w:r>
        <w:t xml:space="preserve">Las figuras se insertarán próximas al lugar donde se mencionan por primera vez y se centrarán horizontalmente. Cada figura debe </w:t>
      </w:r>
      <w:r w:rsidR="004A6567">
        <w:t>presentar</w:t>
      </w:r>
      <w:r>
        <w:t xml:space="preserve"> un pie con numeración consecutiva, colocado </w:t>
      </w:r>
      <w:r>
        <w:rPr>
          <w:i/>
          <w:iCs/>
        </w:rPr>
        <w:t>debajo</w:t>
      </w:r>
      <w:r>
        <w:t xml:space="preserve"> de la figura con el estilo «Pie de figura o tabla», como muestra la Figura 1. El número se genera con un campo automático de Word: lo más sencillo es copiar un pie existente y editar su texto; tras añadir, eliminar o reordenar figuras, actualice la numeración seleccionando todo el documento y pulsando F9. Se recomienda </w:t>
      </w:r>
      <w:r w:rsidR="00106F9A">
        <w:t>la utilización de</w:t>
      </w:r>
      <w:r>
        <w:t xml:space="preserve"> imágenes de alta calidad (PNG, TIFF o EMF) siempre que sea posible y, para imágenes de mapa de bits, una resolución mínima de 300 </w:t>
      </w:r>
      <w:proofErr w:type="spellStart"/>
      <w:r>
        <w:t>ppp</w:t>
      </w:r>
      <w:proofErr w:type="spellEnd"/>
      <w:r>
        <w:t>. Cualquier figura, imagen o material sujeto a derechos de autor requiere el permiso del titular antes de su publicación.</w:t>
      </w:r>
    </w:p>
    <w:p w14:paraId="5DAB6C7B" w14:textId="77777777" w:rsidR="00483B7D" w:rsidRDefault="00EC45F9">
      <w:pPr>
        <w:spacing w:before="120" w:after="60"/>
        <w:jc w:val="center"/>
      </w:pPr>
      <w:r>
        <w:rPr>
          <w:noProof/>
        </w:rPr>
        <w:drawing>
          <wp:inline distT="0" distB="0" distL="0" distR="0" wp14:anchorId="30A5EDC4" wp14:editId="07777777">
            <wp:extent cx="3456000" cy="2592000"/>
            <wp:effectExtent l="0" t="0" r="0" b="0"/>
            <wp:docPr id="1" name="Figura1" descr="Example figure" title="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3456000" cy="2592000"/>
                    </a:xfrm>
                    <a:prstGeom prst="rect">
                      <a:avLst/>
                    </a:prstGeom>
                  </pic:spPr>
                </pic:pic>
              </a:graphicData>
            </a:graphic>
          </wp:inline>
        </w:drawing>
      </w:r>
    </w:p>
    <w:p w14:paraId="6C74EAA7" w14:textId="6EE489D8" w:rsidR="00483B7D" w:rsidRDefault="00EC45F9">
      <w:pPr>
        <w:pStyle w:val="Piedefiguraotabla"/>
      </w:pPr>
      <w:r>
        <w:rPr>
          <w:b/>
          <w:bCs/>
        </w:rPr>
        <w:t xml:space="preserve">Figura </w:t>
      </w:r>
      <w:r>
        <w:fldChar w:fldCharType="begin"/>
      </w:r>
      <w:r>
        <w:instrText>SEQ Figura \* ARABIC</w:instrText>
      </w:r>
      <w:r>
        <w:fldChar w:fldCharType="separate"/>
      </w:r>
      <w:r w:rsidR="0059791F">
        <w:rPr>
          <w:noProof/>
        </w:rPr>
        <w:t>1</w:t>
      </w:r>
      <w:r>
        <w:fldChar w:fldCharType="end"/>
      </w:r>
      <w:r>
        <w:rPr>
          <w:b/>
          <w:bCs/>
        </w:rPr>
        <w:t xml:space="preserve"> – </w:t>
      </w:r>
      <w:r>
        <w:t>Ejemplo de figura con su pie centrado y numeración consecutiva.</w:t>
      </w:r>
    </w:p>
    <w:p w14:paraId="0E01F49B" w14:textId="77777777" w:rsidR="00483B7D" w:rsidRDefault="00EC45F9">
      <w:pPr>
        <w:pStyle w:val="heading20"/>
      </w:pPr>
      <w:r>
        <w:lastRenderedPageBreak/>
        <w:t>Tablas</w:t>
      </w:r>
    </w:p>
    <w:p w14:paraId="2844930A" w14:textId="3F812A15" w:rsidR="00483B7D" w:rsidRDefault="00EC45F9">
      <w:r>
        <w:t xml:space="preserve">Las tablas se centrarán horizontalmente y </w:t>
      </w:r>
      <w:r w:rsidR="00106F9A">
        <w:t>presentarán</w:t>
      </w:r>
      <w:r>
        <w:t xml:space="preserve"> su título en la parte superior, con el mismo estilo y numeración automática que los pies de figura, como muestra la Tabla 1. Se recomienda emplear únicamente </w:t>
      </w:r>
      <w:r w:rsidR="00C63004">
        <w:t>líneas de separación</w:t>
      </w:r>
      <w:r>
        <w:t xml:space="preserve"> horizontales y evitar </w:t>
      </w:r>
      <w:r w:rsidR="00C63004">
        <w:t>las</w:t>
      </w:r>
      <w:r>
        <w:t xml:space="preserve"> verticales. Cuando proceda, indique las unidades entre corchetes en la cabecera de la tabla.</w:t>
      </w:r>
    </w:p>
    <w:p w14:paraId="46B04BF7" w14:textId="64BDAFB3" w:rsidR="00483B7D" w:rsidRDefault="00EC45F9">
      <w:pPr>
        <w:pStyle w:val="Piedefiguraotabla"/>
        <w:spacing w:before="120"/>
      </w:pPr>
      <w:r>
        <w:rPr>
          <w:b/>
          <w:bCs/>
        </w:rPr>
        <w:t xml:space="preserve">Tabla </w:t>
      </w:r>
      <w:r>
        <w:fldChar w:fldCharType="begin"/>
      </w:r>
      <w:r>
        <w:instrText>SEQ Tabla \* ARABIC</w:instrText>
      </w:r>
      <w:r>
        <w:fldChar w:fldCharType="separate"/>
      </w:r>
      <w:r w:rsidR="0059791F">
        <w:rPr>
          <w:noProof/>
        </w:rPr>
        <w:t>1</w:t>
      </w:r>
      <w:r>
        <w:fldChar w:fldCharType="end"/>
      </w:r>
      <w:r>
        <w:rPr>
          <w:b/>
          <w:bCs/>
        </w:rPr>
        <w:t xml:space="preserve"> – </w:t>
      </w:r>
      <w:r>
        <w:t>Densidad de algunos materiales sólidos y fluidos.</w:t>
      </w:r>
    </w:p>
    <w:tbl>
      <w:tblPr>
        <w:tblW w:w="3403" w:type="dxa"/>
        <w:jc w:val="center"/>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1560"/>
        <w:gridCol w:w="1843"/>
      </w:tblGrid>
      <w:tr w:rsidR="002557CC" w14:paraId="46B61F15" w14:textId="77777777" w:rsidTr="002557CC">
        <w:trPr>
          <w:jc w:val="center"/>
        </w:trPr>
        <w:tc>
          <w:tcPr>
            <w:tcW w:w="1560" w:type="dxa"/>
            <w:tcBorders>
              <w:top w:val="single" w:sz="4" w:space="0" w:color="auto"/>
              <w:bottom w:val="single" w:sz="4" w:space="0" w:color="auto"/>
            </w:tcBorders>
            <w:tcMar>
              <w:top w:w="40" w:type="dxa"/>
              <w:left w:w="100" w:type="dxa"/>
              <w:bottom w:w="40" w:type="dxa"/>
              <w:right w:w="100" w:type="dxa"/>
            </w:tcMar>
            <w:vAlign w:val="center"/>
          </w:tcPr>
          <w:p w14:paraId="101A0893" w14:textId="77777777" w:rsidR="00483B7D" w:rsidRDefault="00EC45F9">
            <w:pPr>
              <w:spacing w:after="0"/>
            </w:pPr>
            <w:r>
              <w:rPr>
                <w:b/>
                <w:bCs/>
              </w:rPr>
              <w:t>Material</w:t>
            </w:r>
          </w:p>
        </w:tc>
        <w:tc>
          <w:tcPr>
            <w:tcW w:w="1843" w:type="dxa"/>
            <w:tcBorders>
              <w:top w:val="single" w:sz="4" w:space="0" w:color="auto"/>
              <w:bottom w:val="single" w:sz="4" w:space="0" w:color="auto"/>
            </w:tcBorders>
            <w:tcMar>
              <w:top w:w="40" w:type="dxa"/>
              <w:left w:w="100" w:type="dxa"/>
              <w:bottom w:w="40" w:type="dxa"/>
              <w:right w:w="100" w:type="dxa"/>
            </w:tcMar>
            <w:vAlign w:val="center"/>
          </w:tcPr>
          <w:p w14:paraId="20018FF0" w14:textId="77777777" w:rsidR="00483B7D" w:rsidRDefault="00EC45F9">
            <w:pPr>
              <w:spacing w:after="0"/>
              <w:jc w:val="right"/>
            </w:pPr>
            <w:r>
              <w:rPr>
                <w:b/>
                <w:bCs/>
              </w:rPr>
              <w:t>Densidad</w:t>
            </w:r>
            <w:r>
              <w:t xml:space="preserve"> [kg/m</w:t>
            </w:r>
            <w:r>
              <w:rPr>
                <w:vertAlign w:val="superscript"/>
              </w:rPr>
              <w:t>3</w:t>
            </w:r>
            <w:r>
              <w:t>]</w:t>
            </w:r>
          </w:p>
        </w:tc>
      </w:tr>
      <w:tr w:rsidR="002557CC" w14:paraId="148096A8" w14:textId="77777777" w:rsidTr="002557CC">
        <w:trPr>
          <w:jc w:val="center"/>
        </w:trPr>
        <w:tc>
          <w:tcPr>
            <w:tcW w:w="1560" w:type="dxa"/>
            <w:tcBorders>
              <w:top w:val="single" w:sz="4" w:space="0" w:color="auto"/>
            </w:tcBorders>
            <w:tcMar>
              <w:top w:w="40" w:type="dxa"/>
              <w:left w:w="100" w:type="dxa"/>
              <w:bottom w:w="40" w:type="dxa"/>
              <w:right w:w="100" w:type="dxa"/>
            </w:tcMar>
            <w:vAlign w:val="center"/>
          </w:tcPr>
          <w:p w14:paraId="5D6D5F46" w14:textId="77777777" w:rsidR="00483B7D" w:rsidRDefault="00EC45F9">
            <w:pPr>
              <w:spacing w:after="0"/>
            </w:pPr>
            <w:r>
              <w:t>Aire</w:t>
            </w:r>
          </w:p>
        </w:tc>
        <w:tc>
          <w:tcPr>
            <w:tcW w:w="1843" w:type="dxa"/>
            <w:tcBorders>
              <w:top w:val="single" w:sz="4" w:space="0" w:color="auto"/>
            </w:tcBorders>
            <w:tcMar>
              <w:top w:w="40" w:type="dxa"/>
              <w:left w:w="100" w:type="dxa"/>
              <w:bottom w:w="40" w:type="dxa"/>
              <w:right w:w="100" w:type="dxa"/>
            </w:tcMar>
            <w:vAlign w:val="center"/>
          </w:tcPr>
          <w:p w14:paraId="74E597E1" w14:textId="77777777" w:rsidR="00483B7D" w:rsidRDefault="00EC45F9">
            <w:pPr>
              <w:spacing w:after="0"/>
              <w:jc w:val="right"/>
            </w:pPr>
            <w:r>
              <w:t>1,21</w:t>
            </w:r>
          </w:p>
        </w:tc>
      </w:tr>
      <w:tr w:rsidR="002557CC" w14:paraId="06D1E71F" w14:textId="77777777" w:rsidTr="002557CC">
        <w:trPr>
          <w:jc w:val="center"/>
        </w:trPr>
        <w:tc>
          <w:tcPr>
            <w:tcW w:w="1560" w:type="dxa"/>
            <w:tcMar>
              <w:top w:w="40" w:type="dxa"/>
              <w:left w:w="100" w:type="dxa"/>
              <w:bottom w:w="40" w:type="dxa"/>
              <w:right w:w="100" w:type="dxa"/>
            </w:tcMar>
            <w:vAlign w:val="center"/>
          </w:tcPr>
          <w:p w14:paraId="113F28B6" w14:textId="77777777" w:rsidR="00483B7D" w:rsidRDefault="00EC45F9">
            <w:pPr>
              <w:spacing w:after="0"/>
            </w:pPr>
            <w:r>
              <w:t>Agua</w:t>
            </w:r>
          </w:p>
        </w:tc>
        <w:tc>
          <w:tcPr>
            <w:tcW w:w="1843" w:type="dxa"/>
            <w:tcMar>
              <w:top w:w="40" w:type="dxa"/>
              <w:left w:w="100" w:type="dxa"/>
              <w:bottom w:w="40" w:type="dxa"/>
              <w:right w:w="100" w:type="dxa"/>
            </w:tcMar>
            <w:vAlign w:val="center"/>
          </w:tcPr>
          <w:p w14:paraId="4EE938CE" w14:textId="77777777" w:rsidR="00483B7D" w:rsidRDefault="00EC45F9">
            <w:pPr>
              <w:spacing w:after="0"/>
              <w:jc w:val="right"/>
            </w:pPr>
            <w:r>
              <w:t>1000</w:t>
            </w:r>
          </w:p>
        </w:tc>
      </w:tr>
      <w:tr w:rsidR="002557CC" w14:paraId="517648A5" w14:textId="77777777" w:rsidTr="002557CC">
        <w:trPr>
          <w:jc w:val="center"/>
        </w:trPr>
        <w:tc>
          <w:tcPr>
            <w:tcW w:w="1560" w:type="dxa"/>
            <w:tcMar>
              <w:top w:w="40" w:type="dxa"/>
              <w:left w:w="100" w:type="dxa"/>
              <w:bottom w:w="40" w:type="dxa"/>
              <w:right w:w="100" w:type="dxa"/>
            </w:tcMar>
            <w:vAlign w:val="center"/>
          </w:tcPr>
          <w:p w14:paraId="38E3571C" w14:textId="77777777" w:rsidR="00483B7D" w:rsidRDefault="00EC45F9">
            <w:pPr>
              <w:spacing w:after="0"/>
            </w:pPr>
            <w:r>
              <w:t>Acero</w:t>
            </w:r>
          </w:p>
        </w:tc>
        <w:tc>
          <w:tcPr>
            <w:tcW w:w="1843" w:type="dxa"/>
            <w:tcMar>
              <w:top w:w="40" w:type="dxa"/>
              <w:left w:w="100" w:type="dxa"/>
              <w:bottom w:w="40" w:type="dxa"/>
              <w:right w:w="100" w:type="dxa"/>
            </w:tcMar>
            <w:vAlign w:val="center"/>
          </w:tcPr>
          <w:p w14:paraId="09EF1731" w14:textId="77777777" w:rsidR="00483B7D" w:rsidRDefault="00EC45F9">
            <w:pPr>
              <w:spacing w:after="0"/>
              <w:jc w:val="right"/>
            </w:pPr>
            <w:r>
              <w:t>7850</w:t>
            </w:r>
          </w:p>
        </w:tc>
      </w:tr>
    </w:tbl>
    <w:p w14:paraId="02EB378F" w14:textId="77777777" w:rsidR="00483B7D" w:rsidRDefault="00483B7D">
      <w:pPr>
        <w:spacing w:after="0"/>
      </w:pPr>
    </w:p>
    <w:p w14:paraId="059F9BDD" w14:textId="77777777" w:rsidR="00483B7D" w:rsidRDefault="00EC45F9">
      <w:pPr>
        <w:pStyle w:val="heading20"/>
      </w:pPr>
      <w:r>
        <w:t>Ecuaciones</w:t>
      </w:r>
    </w:p>
    <w:p w14:paraId="489F7D0F" w14:textId="77777777" w:rsidR="00483B7D" w:rsidRDefault="00EC45F9">
      <w:r>
        <w:t>Las ecuaciones se insertarán con el editor de ecuaciones de Word (Insertar → Ecuación), centradas y separadas del texto, y se numerarán consecutivamente con números arábigos entre paréntesis, alineados al margen derecho mediante la tabulación ya definida, como en la Ecuación (1). Utilice símbolos convencionales y unidades del SI.</w:t>
      </w:r>
    </w:p>
    <w:p w14:paraId="2EF4D26F" w14:textId="77777777" w:rsidR="00483B7D" w:rsidRDefault="00EC45F9">
      <w:pPr>
        <w:tabs>
          <w:tab w:val="center" w:pos="4536"/>
          <w:tab w:val="right" w:pos="9072"/>
        </w:tabs>
        <w:spacing w:before="120"/>
      </w:pPr>
      <w:r>
        <w:tab/>
      </w:r>
      <m:oMath>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p+</m:t>
        </m:r>
        <m:sSup>
          <m:sSupPr>
            <m:ctrlPr>
              <w:rPr>
                <w:rFonts w:ascii="Cambria Math" w:hAnsi="Cambria Math"/>
              </w:rPr>
            </m:ctrlPr>
          </m:sSupPr>
          <m:e>
            <m:r>
              <w:rPr>
                <w:rFonts w:ascii="Cambria Math" w:hAnsi="Cambria Math"/>
              </w:rPr>
              <m:t>k</m:t>
            </m:r>
          </m:e>
          <m:sup>
            <m:r>
              <w:rPr>
                <w:rFonts w:ascii="Cambria Math" w:hAnsi="Cambria Math"/>
              </w:rPr>
              <m:t>2</m:t>
            </m:r>
          </m:sup>
        </m:sSup>
        <m:r>
          <w:rPr>
            <w:rFonts w:ascii="Cambria Math" w:hAnsi="Cambria Math"/>
          </w:rPr>
          <m:t>p=0,</m:t>
        </m:r>
      </m:oMath>
      <w:r>
        <w:tab/>
        <w:t>(1)</w:t>
      </w:r>
    </w:p>
    <w:p w14:paraId="5CF369F6" w14:textId="77777777" w:rsidR="00483B7D" w:rsidRDefault="00EC45F9">
      <w:r>
        <w:t xml:space="preserve">donde </w:t>
      </w:r>
      <w:r>
        <w:rPr>
          <w:i/>
          <w:iCs/>
        </w:rPr>
        <w:t>p</w:t>
      </w:r>
      <w:r>
        <w:t xml:space="preserve"> es la presión acústica y </w:t>
      </w:r>
      <w:r>
        <w:rPr>
          <w:i/>
          <w:iCs/>
        </w:rPr>
        <w:t>k</w:t>
      </w:r>
      <w:r>
        <w:t xml:space="preserve"> el número de onda.</w:t>
      </w:r>
    </w:p>
    <w:p w14:paraId="239890FD" w14:textId="77777777" w:rsidR="00483B7D" w:rsidRDefault="00EC45F9">
      <w:pPr>
        <w:pStyle w:val="heading10"/>
      </w:pPr>
      <w:r>
        <w:t>Citas y referencias</w:t>
      </w:r>
    </w:p>
    <w:p w14:paraId="5A4EE97D" w14:textId="77777777" w:rsidR="00483B7D" w:rsidRDefault="00EC45F9">
      <w:r>
        <w:t xml:space="preserve">Las referencias se citan en el texto mediante números entre corchetes [1] y se listan al final del artículo con el estilo «Referencias», numeradas por orden de aparición, siguiendo el estilo </w:t>
      </w:r>
      <w:r>
        <w:rPr>
          <w:b/>
          <w:bCs/>
        </w:rPr>
        <w:t>IEEE numérico</w:t>
      </w:r>
      <w:r>
        <w:t xml:space="preserve"> [2, 3]. Todas las referencias incluidas en la lista deben citarse en el texto y viceversa.</w:t>
      </w:r>
    </w:p>
    <w:p w14:paraId="000A5D96" w14:textId="77777777" w:rsidR="00483B7D" w:rsidRDefault="00EC45F9">
      <w:pPr>
        <w:pStyle w:val="heading10"/>
      </w:pPr>
      <w:r>
        <w:t>Envío y publicación</w:t>
      </w:r>
    </w:p>
    <w:p w14:paraId="26039AF5" w14:textId="77777777" w:rsidR="00483B7D" w:rsidRDefault="00EC45F9">
      <w:r>
        <w:t xml:space="preserve">Los artículos se enviarán en formato </w:t>
      </w:r>
      <w:r w:rsidRPr="00EC3063">
        <w:rPr>
          <w:b/>
          <w:bCs/>
        </w:rPr>
        <w:t>PDF</w:t>
      </w:r>
      <w:r>
        <w:t xml:space="preserve"> a través de la web del congreso. Genere el PDF desde Word (Archivo → Guardar como → PDF, o Archivo → Exportar), comprobando que las fuentes quedan incrustadas. El archivo no debe superar el tamaño máximo indicado en las normas de envío. Antes de enviarlo, compruebe cuidadosamente el PDF final para verificar que la conversión se ha realizado correctamente y que ninguna figura, tabla o ecuación queda fuera de su sitio. Para que el artículo se incluya en el programa y en las Actas, al menos uno de los autores deberá formalizar la inscripción y el pago correspondiente dentro del plazo establecido.</w:t>
      </w:r>
    </w:p>
    <w:p w14:paraId="19FF5C40" w14:textId="77777777" w:rsidR="00483B7D" w:rsidRDefault="00EC45F9">
      <w:pPr>
        <w:pStyle w:val="heading10"/>
      </w:pPr>
      <w:r>
        <w:t>Conclusiones</w:t>
      </w:r>
    </w:p>
    <w:p w14:paraId="222454E4" w14:textId="1E6C2FC9" w:rsidR="00483B7D" w:rsidRDefault="00EC45F9">
      <w:r>
        <w:t>Esta plantilla reúne todos los elementos necesarios para preparar un artículo conforme a las normas de</w:t>
      </w:r>
      <w:r w:rsidR="00EC3063">
        <w:t>l Congreso</w:t>
      </w:r>
      <w:r>
        <w:t xml:space="preserve"> </w:t>
      </w:r>
      <w:proofErr w:type="spellStart"/>
      <w:r>
        <w:t>TecniAcústica</w:t>
      </w:r>
      <w:proofErr w:type="spellEnd"/>
      <w:r>
        <w:t xml:space="preserve"> 2026. Respetando los estilos predefinidos y sin alterar la configuración de página, el resultado será uniforme y equivalente tanto en Word como en LaTeX.</w:t>
      </w:r>
    </w:p>
    <w:p w14:paraId="5A472E30" w14:textId="77777777" w:rsidR="00483B7D" w:rsidRDefault="00EC45F9">
      <w:pPr>
        <w:pStyle w:val="Ttulosinnumerar"/>
      </w:pPr>
      <w:r>
        <w:lastRenderedPageBreak/>
        <w:t>Agradecimientos</w:t>
      </w:r>
    </w:p>
    <w:p w14:paraId="1AEC7BE6" w14:textId="77777777" w:rsidR="00483B7D" w:rsidRDefault="00EC45F9">
      <w:r>
        <w:t>Los agradecimientos a financiación, instituciones o colegas se incluyen en esta sección, situada después de las conclusiones y antes de las referencias. No se numera.</w:t>
      </w:r>
    </w:p>
    <w:p w14:paraId="4E1F9A16" w14:textId="77777777" w:rsidR="00483B7D" w:rsidRDefault="00EC45F9">
      <w:pPr>
        <w:pStyle w:val="Ttulosinnumerar"/>
      </w:pPr>
      <w:r>
        <w:t>Referencias</w:t>
      </w:r>
    </w:p>
    <w:p w14:paraId="65E47BC4" w14:textId="77777777" w:rsidR="00483B7D" w:rsidRDefault="00EC45F9">
      <w:pPr>
        <w:pStyle w:val="Referencias"/>
        <w:numPr>
          <w:ilvl w:val="0"/>
          <w:numId w:val="2"/>
        </w:numPr>
      </w:pPr>
      <w:r>
        <w:t xml:space="preserve">C. L. Morfey, </w:t>
      </w:r>
      <w:proofErr w:type="spellStart"/>
      <w:r>
        <w:rPr>
          <w:i/>
          <w:iCs/>
        </w:rPr>
        <w:t>Dictionary</w:t>
      </w:r>
      <w:proofErr w:type="spellEnd"/>
      <w:r>
        <w:rPr>
          <w:i/>
          <w:iCs/>
        </w:rPr>
        <w:t xml:space="preserve"> </w:t>
      </w:r>
      <w:proofErr w:type="spellStart"/>
      <w:r>
        <w:rPr>
          <w:i/>
          <w:iCs/>
        </w:rPr>
        <w:t>of</w:t>
      </w:r>
      <w:proofErr w:type="spellEnd"/>
      <w:r>
        <w:rPr>
          <w:i/>
          <w:iCs/>
        </w:rPr>
        <w:t xml:space="preserve"> </w:t>
      </w:r>
      <w:proofErr w:type="spellStart"/>
      <w:r>
        <w:rPr>
          <w:i/>
          <w:iCs/>
        </w:rPr>
        <w:t>Acoustics</w:t>
      </w:r>
      <w:proofErr w:type="spellEnd"/>
      <w:r>
        <w:t xml:space="preserve">. San Diego, USA: </w:t>
      </w:r>
      <w:proofErr w:type="spellStart"/>
      <w:r>
        <w:t>Academic</w:t>
      </w:r>
      <w:proofErr w:type="spellEnd"/>
      <w:r>
        <w:t xml:space="preserve"> Press, 2001.</w:t>
      </w:r>
    </w:p>
    <w:p w14:paraId="0812B705" w14:textId="123C9B5F" w:rsidR="00483B7D" w:rsidRDefault="00EC45F9">
      <w:pPr>
        <w:pStyle w:val="Referencias"/>
        <w:numPr>
          <w:ilvl w:val="0"/>
          <w:numId w:val="2"/>
        </w:numPr>
      </w:pPr>
      <w:r>
        <w:t>L. E. Kinsler, A. R. Frey, A. B. Coppens</w:t>
      </w:r>
      <w:r w:rsidR="00EC3063">
        <w:t xml:space="preserve"> y</w:t>
      </w:r>
      <w:r>
        <w:t xml:space="preserve"> J. V. Sanders, </w:t>
      </w:r>
      <w:r>
        <w:rPr>
          <w:i/>
          <w:iCs/>
        </w:rPr>
        <w:t xml:space="preserve">Fundamentals </w:t>
      </w:r>
      <w:proofErr w:type="spellStart"/>
      <w:r>
        <w:rPr>
          <w:i/>
          <w:iCs/>
        </w:rPr>
        <w:t>of</w:t>
      </w:r>
      <w:proofErr w:type="spellEnd"/>
      <w:r>
        <w:rPr>
          <w:i/>
          <w:iCs/>
        </w:rPr>
        <w:t xml:space="preserve"> </w:t>
      </w:r>
      <w:proofErr w:type="spellStart"/>
      <w:r>
        <w:rPr>
          <w:i/>
          <w:iCs/>
        </w:rPr>
        <w:t>Acoustics</w:t>
      </w:r>
      <w:proofErr w:type="spellEnd"/>
      <w:r>
        <w:t>, 4th ed. New York, USA: Wiley, 2000.</w:t>
      </w:r>
    </w:p>
    <w:p w14:paraId="5BF60906" w14:textId="77777777" w:rsidR="00483B7D" w:rsidRDefault="00EC45F9">
      <w:pPr>
        <w:pStyle w:val="Referencias"/>
        <w:numPr>
          <w:ilvl w:val="0"/>
          <w:numId w:val="2"/>
        </w:numPr>
      </w:pPr>
      <w:r>
        <w:t xml:space="preserve">ISO 3382-1:2009, </w:t>
      </w:r>
      <w:proofErr w:type="spellStart"/>
      <w:r>
        <w:rPr>
          <w:i/>
          <w:iCs/>
        </w:rPr>
        <w:t>Acoustics</w:t>
      </w:r>
      <w:proofErr w:type="spellEnd"/>
      <w:r>
        <w:rPr>
          <w:i/>
          <w:iCs/>
        </w:rPr>
        <w:t xml:space="preserve"> — </w:t>
      </w:r>
      <w:proofErr w:type="spellStart"/>
      <w:r>
        <w:rPr>
          <w:i/>
          <w:iCs/>
        </w:rPr>
        <w:t>Measurement</w:t>
      </w:r>
      <w:proofErr w:type="spellEnd"/>
      <w:r>
        <w:rPr>
          <w:i/>
          <w:iCs/>
        </w:rPr>
        <w:t xml:space="preserve"> </w:t>
      </w:r>
      <w:proofErr w:type="spellStart"/>
      <w:r>
        <w:rPr>
          <w:i/>
          <w:iCs/>
        </w:rPr>
        <w:t>of</w:t>
      </w:r>
      <w:proofErr w:type="spellEnd"/>
      <w:r>
        <w:rPr>
          <w:i/>
          <w:iCs/>
        </w:rPr>
        <w:t xml:space="preserve"> </w:t>
      </w:r>
      <w:proofErr w:type="spellStart"/>
      <w:r>
        <w:rPr>
          <w:i/>
          <w:iCs/>
        </w:rPr>
        <w:t>room</w:t>
      </w:r>
      <w:proofErr w:type="spellEnd"/>
      <w:r>
        <w:rPr>
          <w:i/>
          <w:iCs/>
        </w:rPr>
        <w:t xml:space="preserve"> </w:t>
      </w:r>
      <w:proofErr w:type="spellStart"/>
      <w:r>
        <w:rPr>
          <w:i/>
          <w:iCs/>
        </w:rPr>
        <w:t>acoustic</w:t>
      </w:r>
      <w:proofErr w:type="spellEnd"/>
      <w:r>
        <w:rPr>
          <w:i/>
          <w:iCs/>
        </w:rPr>
        <w:t xml:space="preserve"> </w:t>
      </w:r>
      <w:proofErr w:type="spellStart"/>
      <w:r>
        <w:rPr>
          <w:i/>
          <w:iCs/>
        </w:rPr>
        <w:t>parameters</w:t>
      </w:r>
      <w:proofErr w:type="spellEnd"/>
      <w:r>
        <w:rPr>
          <w:i/>
          <w:iCs/>
        </w:rPr>
        <w:t xml:space="preserve"> — Part 1: Performance </w:t>
      </w:r>
      <w:proofErr w:type="spellStart"/>
      <w:r>
        <w:rPr>
          <w:i/>
          <w:iCs/>
        </w:rPr>
        <w:t>spaces</w:t>
      </w:r>
      <w:proofErr w:type="spellEnd"/>
      <w:r>
        <w:t xml:space="preserve">. International </w:t>
      </w:r>
      <w:proofErr w:type="spellStart"/>
      <w:r>
        <w:t>Organization</w:t>
      </w:r>
      <w:proofErr w:type="spellEnd"/>
      <w:r>
        <w:t xml:space="preserve"> </w:t>
      </w:r>
      <w:proofErr w:type="spellStart"/>
      <w:r>
        <w:t>for</w:t>
      </w:r>
      <w:proofErr w:type="spellEnd"/>
      <w:r>
        <w:t xml:space="preserve"> </w:t>
      </w:r>
      <w:proofErr w:type="spellStart"/>
      <w:r>
        <w:t>Standardization</w:t>
      </w:r>
      <w:proofErr w:type="spellEnd"/>
      <w:r>
        <w:t>, 2009.</w:t>
      </w:r>
    </w:p>
    <w:sectPr w:rsidR="00483B7D">
      <w:headerReference w:type="even" r:id="rId9"/>
      <w:headerReference w:type="default" r:id="rId10"/>
      <w:footerReference w:type="even" r:id="rId11"/>
      <w:footerReference w:type="default" r:id="rId12"/>
      <w:headerReference w:type="first" r:id="rId13"/>
      <w:footerReference w:type="first" r:id="rId14"/>
      <w:pgSz w:w="11906" w:h="16838"/>
      <w:pgMar w:top="1984" w:right="1417" w:bottom="1984" w:left="1417" w:header="964"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32DB" w14:textId="77777777" w:rsidR="00724103" w:rsidRDefault="00724103">
      <w:pPr>
        <w:spacing w:after="0"/>
      </w:pPr>
      <w:r>
        <w:separator/>
      </w:r>
    </w:p>
  </w:endnote>
  <w:endnote w:type="continuationSeparator" w:id="0">
    <w:p w14:paraId="3F3797A9" w14:textId="77777777" w:rsidR="00724103" w:rsidRDefault="007241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F11E" w14:textId="77777777" w:rsidR="00EC45F9" w:rsidRDefault="00EC45F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1FF6" w14:textId="77777777" w:rsidR="00EC45F9" w:rsidRDefault="00EC45F9">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41A6" w14:textId="77777777" w:rsidR="00483B7D" w:rsidRDefault="00EC45F9">
    <w:pPr>
      <w:spacing w:after="60"/>
      <w:jc w:val="center"/>
    </w:pPr>
    <w:r>
      <w:rPr>
        <w:noProof/>
      </w:rPr>
      <w:drawing>
        <wp:inline distT="0" distB="0" distL="0" distR="0" wp14:anchorId="4E69A41E" wp14:editId="07777777">
          <wp:extent cx="697610" cy="504000"/>
          <wp:effectExtent l="0" t="0" r="0" b="0"/>
          <wp:docPr id="1572557530" name="SEA" descr="Sociedad Española de Acústica" title="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697610" cy="504000"/>
                  </a:xfrm>
                  <a:prstGeom prst="rect">
                    <a:avLst/>
                  </a:prstGeom>
                </pic:spPr>
              </pic:pic>
            </a:graphicData>
          </a:graphic>
        </wp:inline>
      </w:drawing>
    </w:r>
    <w:r>
      <w:t>        </w:t>
    </w:r>
    <w:r>
      <w:rPr>
        <w:noProof/>
      </w:rPr>
      <w:drawing>
        <wp:inline distT="0" distB="0" distL="0" distR="0" wp14:anchorId="0770E3F5" wp14:editId="28D3B9C3">
          <wp:extent cx="900000" cy="396745"/>
          <wp:effectExtent l="0" t="0" r="0" b="3810"/>
          <wp:docPr id="88975743" nam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75743" name="SP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00000" cy="396745"/>
                  </a:xfrm>
                  <a:prstGeom prst="rect">
                    <a:avLst/>
                  </a:prstGeom>
                </pic:spPr>
              </pic:pic>
            </a:graphicData>
          </a:graphic>
        </wp:inline>
      </w:drawing>
    </w:r>
  </w:p>
  <w:p w14:paraId="2C41ED6F" w14:textId="77777777" w:rsidR="00483B7D" w:rsidRDefault="00EC45F9">
    <w:pPr>
      <w:jc w:val="center"/>
    </w:pPr>
    <w:r>
      <w:rPr>
        <w:sz w:val="15"/>
        <w:szCs w:val="15"/>
      </w:rPr>
      <w:t xml:space="preserve">Copyright: © 2026 Apellido1 et al. Distribuido bajo licencia Creative Commons </w:t>
    </w:r>
    <w:proofErr w:type="spellStart"/>
    <w:r>
      <w:rPr>
        <w:sz w:val="15"/>
        <w:szCs w:val="15"/>
      </w:rPr>
      <w:t>Attribution</w:t>
    </w:r>
    <w:proofErr w:type="spellEnd"/>
    <w:r>
      <w:rPr>
        <w:sz w:val="15"/>
        <w:szCs w:val="15"/>
      </w:rPr>
      <w:t xml:space="preserve"> 4.0 International (CC BY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DA03D" w14:textId="77777777" w:rsidR="00724103" w:rsidRDefault="00724103">
      <w:pPr>
        <w:spacing w:after="0"/>
      </w:pPr>
      <w:r>
        <w:separator/>
      </w:r>
    </w:p>
  </w:footnote>
  <w:footnote w:type="continuationSeparator" w:id="0">
    <w:p w14:paraId="16882277" w14:textId="77777777" w:rsidR="00724103" w:rsidRDefault="007241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FA7A" w14:textId="77777777" w:rsidR="00483B7D" w:rsidRDefault="00EC45F9">
    <w:pPr>
      <w:pBdr>
        <w:bottom w:val="single" w:sz="4" w:space="2" w:color="000000"/>
      </w:pBdr>
      <w:jc w:val="center"/>
    </w:pPr>
    <w:r>
      <w:rPr>
        <w:i/>
        <w:iCs/>
        <w:sz w:val="20"/>
        <w:szCs w:val="20"/>
      </w:rPr>
      <w:t>Apellido1,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4C94" w14:textId="77777777" w:rsidR="00483B7D" w:rsidRDefault="00EC45F9">
    <w:pPr>
      <w:pBdr>
        <w:bottom w:val="single" w:sz="4" w:space="2" w:color="000000"/>
      </w:pBdr>
      <w:jc w:val="center"/>
    </w:pPr>
    <w:proofErr w:type="spellStart"/>
    <w:r>
      <w:rPr>
        <w:i/>
        <w:iCs/>
        <w:sz w:val="20"/>
        <w:szCs w:val="20"/>
      </w:rPr>
      <w:t>TecniAcústica</w:t>
    </w:r>
    <w:proofErr w:type="spellEnd"/>
    <w:r>
      <w:rPr>
        <w:i/>
        <w:iCs/>
        <w:sz w:val="20"/>
        <w:szCs w:val="20"/>
      </w:rPr>
      <w:t xml:space="preserve"> 2026 – XIV Congreso Ibérico de Acústica, 21–23 de octubre, Granada, España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ED15" w14:textId="77777777" w:rsidR="00483B7D" w:rsidRDefault="00EC45F9">
    <w:r>
      <w:rPr>
        <w:noProof/>
      </w:rPr>
      <w:drawing>
        <wp:anchor distT="0" distB="0" distL="0" distR="0" simplePos="0" relativeHeight="1695299" behindDoc="0" locked="0" layoutInCell="1" allowOverlap="1" wp14:anchorId="49A79055" wp14:editId="07777777">
          <wp:simplePos x="0" y="0"/>
          <wp:positionH relativeFrom="page">
            <wp:align>center</wp:align>
          </wp:positionH>
          <wp:positionV relativeFrom="page">
            <wp:posOffset>180000</wp:posOffset>
          </wp:positionV>
          <wp:extent cx="5760000" cy="1695299"/>
          <wp:effectExtent l="0" t="0" r="0" b="0"/>
          <wp:wrapNone/>
          <wp:docPr id="1530939736" name="Banner" descr="TecniAcústica 2026 banner" title="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5760000" cy="16952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E10E4"/>
    <w:multiLevelType w:val="hybridMultilevel"/>
    <w:tmpl w:val="FFFFFFFF"/>
    <w:lvl w:ilvl="0" w:tplc="7090DE36">
      <w:start w:val="1"/>
      <w:numFmt w:val="decimal"/>
      <w:lvlText w:val="[%1]"/>
      <w:lvlJc w:val="left"/>
      <w:pPr>
        <w:ind w:left="567" w:hanging="567"/>
      </w:pPr>
    </w:lvl>
    <w:lvl w:ilvl="1" w:tplc="5F469C7E">
      <w:numFmt w:val="decimal"/>
      <w:lvlText w:val=""/>
      <w:lvlJc w:val="left"/>
    </w:lvl>
    <w:lvl w:ilvl="2" w:tplc="1D6CF894">
      <w:numFmt w:val="decimal"/>
      <w:lvlText w:val=""/>
      <w:lvlJc w:val="left"/>
    </w:lvl>
    <w:lvl w:ilvl="3" w:tplc="D40427F2">
      <w:numFmt w:val="decimal"/>
      <w:lvlText w:val=""/>
      <w:lvlJc w:val="left"/>
    </w:lvl>
    <w:lvl w:ilvl="4" w:tplc="B32642CA">
      <w:numFmt w:val="decimal"/>
      <w:lvlText w:val=""/>
      <w:lvlJc w:val="left"/>
    </w:lvl>
    <w:lvl w:ilvl="5" w:tplc="C422FBCC">
      <w:numFmt w:val="decimal"/>
      <w:lvlText w:val=""/>
      <w:lvlJc w:val="left"/>
    </w:lvl>
    <w:lvl w:ilvl="6" w:tplc="76CE460A">
      <w:numFmt w:val="decimal"/>
      <w:lvlText w:val=""/>
      <w:lvlJc w:val="left"/>
    </w:lvl>
    <w:lvl w:ilvl="7" w:tplc="69D0B68C">
      <w:numFmt w:val="decimal"/>
      <w:lvlText w:val=""/>
      <w:lvlJc w:val="left"/>
    </w:lvl>
    <w:lvl w:ilvl="8" w:tplc="9A58A7FC">
      <w:numFmt w:val="decimal"/>
      <w:lvlText w:val=""/>
      <w:lvlJc w:val="left"/>
    </w:lvl>
  </w:abstractNum>
  <w:abstractNum w:abstractNumId="1" w15:restartNumberingAfterBreak="0">
    <w:nsid w:val="162D633B"/>
    <w:multiLevelType w:val="hybridMultilevel"/>
    <w:tmpl w:val="FFFFFFFF"/>
    <w:lvl w:ilvl="0" w:tplc="555AD810">
      <w:start w:val="1"/>
      <w:numFmt w:val="bullet"/>
      <w:lvlText w:val="●"/>
      <w:lvlJc w:val="left"/>
      <w:pPr>
        <w:ind w:left="720" w:hanging="360"/>
      </w:pPr>
    </w:lvl>
    <w:lvl w:ilvl="1" w:tplc="9F40C874">
      <w:start w:val="1"/>
      <w:numFmt w:val="bullet"/>
      <w:lvlText w:val="○"/>
      <w:lvlJc w:val="left"/>
      <w:pPr>
        <w:ind w:left="1440" w:hanging="360"/>
      </w:pPr>
    </w:lvl>
    <w:lvl w:ilvl="2" w:tplc="81703D82">
      <w:start w:val="1"/>
      <w:numFmt w:val="bullet"/>
      <w:lvlText w:val="■"/>
      <w:lvlJc w:val="left"/>
      <w:pPr>
        <w:ind w:left="2160" w:hanging="360"/>
      </w:pPr>
    </w:lvl>
    <w:lvl w:ilvl="3" w:tplc="2F62080E">
      <w:start w:val="1"/>
      <w:numFmt w:val="bullet"/>
      <w:lvlText w:val="●"/>
      <w:lvlJc w:val="left"/>
      <w:pPr>
        <w:ind w:left="2880" w:hanging="360"/>
      </w:pPr>
    </w:lvl>
    <w:lvl w:ilvl="4" w:tplc="48F2D28A">
      <w:start w:val="1"/>
      <w:numFmt w:val="bullet"/>
      <w:lvlText w:val="○"/>
      <w:lvlJc w:val="left"/>
      <w:pPr>
        <w:ind w:left="3600" w:hanging="360"/>
      </w:pPr>
    </w:lvl>
    <w:lvl w:ilvl="5" w:tplc="77CC2D7C">
      <w:start w:val="1"/>
      <w:numFmt w:val="bullet"/>
      <w:lvlText w:val="■"/>
      <w:lvlJc w:val="left"/>
      <w:pPr>
        <w:ind w:left="4320" w:hanging="360"/>
      </w:pPr>
    </w:lvl>
    <w:lvl w:ilvl="6" w:tplc="75D85BB8">
      <w:start w:val="1"/>
      <w:numFmt w:val="bullet"/>
      <w:lvlText w:val="●"/>
      <w:lvlJc w:val="left"/>
      <w:pPr>
        <w:ind w:left="5040" w:hanging="360"/>
      </w:pPr>
    </w:lvl>
    <w:lvl w:ilvl="7" w:tplc="F8AECDD2">
      <w:start w:val="1"/>
      <w:numFmt w:val="bullet"/>
      <w:lvlText w:val="●"/>
      <w:lvlJc w:val="left"/>
      <w:pPr>
        <w:ind w:left="5760" w:hanging="360"/>
      </w:pPr>
    </w:lvl>
    <w:lvl w:ilvl="8" w:tplc="7DCEE336">
      <w:start w:val="1"/>
      <w:numFmt w:val="bullet"/>
      <w:lvlText w:val="●"/>
      <w:lvlJc w:val="left"/>
      <w:pPr>
        <w:ind w:left="6480" w:hanging="360"/>
      </w:pPr>
    </w:lvl>
  </w:abstractNum>
  <w:abstractNum w:abstractNumId="2" w15:restartNumberingAfterBreak="0">
    <w:nsid w:val="540A42E2"/>
    <w:multiLevelType w:val="multilevel"/>
    <w:tmpl w:val="B716469C"/>
    <w:lvl w:ilvl="0">
      <w:start w:val="1"/>
      <w:numFmt w:val="decimal"/>
      <w:pStyle w:val="heading10"/>
      <w:suff w:val="space"/>
      <w:lvlText w:val="%1."/>
      <w:lvlJc w:val="left"/>
      <w:pPr>
        <w:ind w:left="0" w:firstLine="0"/>
      </w:pPr>
    </w:lvl>
    <w:lvl w:ilvl="1">
      <w:start w:val="1"/>
      <w:numFmt w:val="decimal"/>
      <w:pStyle w:val="heading20"/>
      <w:suff w:val="space"/>
      <w:lvlText w:val="%1.%2."/>
      <w:lvlJc w:val="left"/>
      <w:pPr>
        <w:ind w:left="0" w:firstLine="0"/>
      </w:pPr>
    </w:lvl>
    <w:lvl w:ilvl="2">
      <w:start w:val="1"/>
      <w:numFmt w:val="decimal"/>
      <w:pStyle w:val="heading30"/>
      <w:suff w:val="space"/>
      <w:lvlText w:val="%1.%2.%3."/>
      <w:lvlJc w:val="left"/>
      <w:pPr>
        <w:ind w:left="0" w:firstLine="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4810770">
    <w:abstractNumId w:val="1"/>
    <w:lvlOverride w:ilvl="0">
      <w:startOverride w:val="1"/>
    </w:lvlOverride>
  </w:num>
  <w:num w:numId="2" w16cid:durableId="1225994369">
    <w:abstractNumId w:val="0"/>
    <w:lvlOverride w:ilvl="0">
      <w:startOverride w:val="1"/>
    </w:lvlOverride>
  </w:num>
  <w:num w:numId="3" w16cid:durableId="103011034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B7D"/>
    <w:rsid w:val="00056352"/>
    <w:rsid w:val="0009521E"/>
    <w:rsid w:val="00106F9A"/>
    <w:rsid w:val="001B2AFC"/>
    <w:rsid w:val="001C615B"/>
    <w:rsid w:val="00246E1E"/>
    <w:rsid w:val="002557CC"/>
    <w:rsid w:val="002F6A67"/>
    <w:rsid w:val="004243F0"/>
    <w:rsid w:val="00483B7D"/>
    <w:rsid w:val="004A6567"/>
    <w:rsid w:val="00567384"/>
    <w:rsid w:val="0059791F"/>
    <w:rsid w:val="0060096E"/>
    <w:rsid w:val="006175CB"/>
    <w:rsid w:val="006249FB"/>
    <w:rsid w:val="00724103"/>
    <w:rsid w:val="00812FF1"/>
    <w:rsid w:val="009E519E"/>
    <w:rsid w:val="00A52BAA"/>
    <w:rsid w:val="00A67343"/>
    <w:rsid w:val="00AC74ED"/>
    <w:rsid w:val="00B12A5D"/>
    <w:rsid w:val="00B445BF"/>
    <w:rsid w:val="00BC2BF3"/>
    <w:rsid w:val="00C63004"/>
    <w:rsid w:val="00CA635B"/>
    <w:rsid w:val="00D21EC1"/>
    <w:rsid w:val="00DF536A"/>
    <w:rsid w:val="00EB0BCA"/>
    <w:rsid w:val="00EC3063"/>
    <w:rsid w:val="00EC45F9"/>
    <w:rsid w:val="00F6095A"/>
    <w:rsid w:val="2DEEADDF"/>
    <w:rsid w:val="62CEB4F9"/>
    <w:rsid w:val="7B83FA8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BEE6"/>
  <w15:docId w15:val="{4CD05194-8B8C-42C5-BB61-8E7E95A6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jc w:val="both"/>
    </w:pPr>
  </w:style>
  <w:style w:type="paragraph" w:styleId="Ttulo1">
    <w:name w:val="heading 1"/>
    <w:basedOn w:val="Normal"/>
    <w:next w:val="Normal"/>
    <w:uiPriority w:val="9"/>
    <w:qFormat/>
    <w:pPr>
      <w:outlineLvl w:val="0"/>
    </w:pPr>
    <w:rPr>
      <w:color w:val="2E74B5"/>
      <w:sz w:val="32"/>
      <w:szCs w:val="32"/>
    </w:rPr>
  </w:style>
  <w:style w:type="paragraph" w:styleId="Ttulo2">
    <w:name w:val="heading 2"/>
    <w:basedOn w:val="Normal"/>
    <w:next w:val="Normal"/>
    <w:uiPriority w:val="9"/>
    <w:semiHidden/>
    <w:unhideWhenUsed/>
    <w:qFormat/>
    <w:pPr>
      <w:outlineLvl w:val="1"/>
    </w:pPr>
    <w:rPr>
      <w:color w:val="2E74B5"/>
      <w:sz w:val="26"/>
      <w:szCs w:val="26"/>
    </w:rPr>
  </w:style>
  <w:style w:type="paragraph" w:styleId="Ttulo3">
    <w:name w:val="heading 3"/>
    <w:basedOn w:val="Normal"/>
    <w:next w:val="Normal"/>
    <w:uiPriority w:val="9"/>
    <w:semiHidden/>
    <w:unhideWhenUsed/>
    <w:qFormat/>
    <w:pPr>
      <w:outlineLvl w:val="2"/>
    </w:pPr>
    <w:rPr>
      <w:color w:val="1F4D78"/>
      <w:sz w:val="24"/>
      <w:szCs w:val="24"/>
    </w:rPr>
  </w:style>
  <w:style w:type="paragraph" w:styleId="Ttulo4">
    <w:name w:val="heading 4"/>
    <w:basedOn w:val="Normal"/>
    <w:next w:val="Normal"/>
    <w:uiPriority w:val="9"/>
    <w:semiHidden/>
    <w:unhideWhenUsed/>
    <w:qFormat/>
    <w:pPr>
      <w:outlineLvl w:val="3"/>
    </w:pPr>
    <w:rPr>
      <w:i/>
      <w:iCs/>
      <w:color w:val="2E74B5"/>
    </w:rPr>
  </w:style>
  <w:style w:type="paragraph" w:styleId="Ttulo5">
    <w:name w:val="heading 5"/>
    <w:basedOn w:val="Normal"/>
    <w:next w:val="Normal"/>
    <w:uiPriority w:val="9"/>
    <w:semiHidden/>
    <w:unhideWhenUsed/>
    <w:qFormat/>
    <w:pPr>
      <w:outlineLvl w:val="4"/>
    </w:pPr>
    <w:rPr>
      <w:color w:val="2E74B5"/>
    </w:rPr>
  </w:style>
  <w:style w:type="paragraph" w:styleId="Ttulo6">
    <w:name w:val="heading 6"/>
    <w:basedOn w:val="Normal"/>
    <w:next w:val="Normal"/>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rPr>
      <w:sz w:val="56"/>
      <w:szCs w:val="56"/>
    </w:rPr>
  </w:style>
  <w:style w:type="paragraph" w:customStyle="1" w:styleId="Fuerte1">
    <w:name w:val="Fuerte1"/>
    <w:basedOn w:val="Normal"/>
    <w:next w:val="Normal"/>
    <w:qFormat/>
    <w:rPr>
      <w:b/>
      <w:bCs/>
    </w:rPr>
  </w:style>
  <w:style w:type="paragraph" w:styleId="Prrafodelista">
    <w:name w:val="List Paragraph"/>
    <w:basedOn w:val="Normal"/>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basedOn w:val="Normal"/>
    <w:link w:val="TextonotapieCar"/>
    <w:uiPriority w:val="99"/>
    <w:semiHidden/>
    <w:unhideWhenUsed/>
    <w:pPr>
      <w:spacing w:after="0"/>
    </w:pPr>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pPr>
    <w:rPr>
      <w:sz w:val="20"/>
      <w:szCs w:val="20"/>
    </w:rPr>
  </w:style>
  <w:style w:type="character" w:customStyle="1" w:styleId="TextonotaalfinalCar">
    <w:name w:val="Texto nota al final Car"/>
    <w:link w:val="Textonotaalfinal"/>
    <w:uiPriority w:val="99"/>
    <w:semiHidden/>
    <w:unhideWhenUsed/>
    <w:rPr>
      <w:sz w:val="20"/>
      <w:szCs w:val="20"/>
    </w:rPr>
  </w:style>
  <w:style w:type="paragraph" w:customStyle="1" w:styleId="Title0">
    <w:name w:val="Title0"/>
    <w:basedOn w:val="Normal"/>
    <w:next w:val="Autores"/>
    <w:qFormat/>
    <w:pPr>
      <w:keepNext/>
      <w:spacing w:after="170"/>
      <w:jc w:val="center"/>
    </w:pPr>
    <w:rPr>
      <w:b/>
      <w:bCs/>
      <w:caps/>
      <w:sz w:val="32"/>
      <w:szCs w:val="32"/>
    </w:rPr>
  </w:style>
  <w:style w:type="paragraph" w:customStyle="1" w:styleId="Autores">
    <w:name w:val="Autores"/>
    <w:basedOn w:val="Normal"/>
    <w:next w:val="Afiliaciones"/>
    <w:qFormat/>
    <w:pPr>
      <w:keepNext/>
      <w:spacing w:after="113"/>
      <w:jc w:val="center"/>
    </w:pPr>
    <w:rPr>
      <w:b/>
      <w:bCs/>
    </w:rPr>
  </w:style>
  <w:style w:type="paragraph" w:customStyle="1" w:styleId="Afiliaciones">
    <w:name w:val="Afiliaciones"/>
    <w:basedOn w:val="Normal"/>
    <w:qFormat/>
    <w:pPr>
      <w:spacing w:after="0"/>
    </w:pPr>
    <w:rPr>
      <w:sz w:val="20"/>
      <w:szCs w:val="20"/>
    </w:rPr>
  </w:style>
  <w:style w:type="paragraph" w:customStyle="1" w:styleId="ResumenAbstract">
    <w:name w:val="Resumen / Abstract"/>
    <w:basedOn w:val="Normal"/>
    <w:qFormat/>
    <w:pPr>
      <w:spacing w:before="113" w:after="0"/>
    </w:pPr>
    <w:rPr>
      <w:sz w:val="20"/>
      <w:szCs w:val="20"/>
    </w:rPr>
  </w:style>
  <w:style w:type="paragraph" w:customStyle="1" w:styleId="PalabrasclaveKeywords">
    <w:name w:val="Palabras clave / Keywords"/>
    <w:basedOn w:val="Normal"/>
    <w:next w:val="Normal"/>
    <w:qFormat/>
    <w:pPr>
      <w:spacing w:before="113" w:after="0"/>
      <w:jc w:val="left"/>
    </w:pPr>
    <w:rPr>
      <w:sz w:val="20"/>
      <w:szCs w:val="20"/>
    </w:rPr>
  </w:style>
  <w:style w:type="paragraph" w:customStyle="1" w:styleId="heading10">
    <w:name w:val="heading 10"/>
    <w:basedOn w:val="Normal"/>
    <w:next w:val="Normal"/>
    <w:qFormat/>
    <w:pPr>
      <w:keepNext/>
      <w:numPr>
        <w:numId w:val="3"/>
      </w:numPr>
      <w:spacing w:before="567" w:after="227"/>
      <w:jc w:val="left"/>
      <w:outlineLvl w:val="0"/>
    </w:pPr>
    <w:rPr>
      <w:b/>
      <w:bCs/>
      <w:sz w:val="28"/>
      <w:szCs w:val="28"/>
    </w:rPr>
  </w:style>
  <w:style w:type="paragraph" w:customStyle="1" w:styleId="heading20">
    <w:name w:val="heading 20"/>
    <w:basedOn w:val="Normal"/>
    <w:next w:val="Normal"/>
    <w:qFormat/>
    <w:pPr>
      <w:keepNext/>
      <w:numPr>
        <w:ilvl w:val="1"/>
        <w:numId w:val="3"/>
      </w:numPr>
      <w:spacing w:before="340" w:after="113"/>
      <w:jc w:val="left"/>
      <w:outlineLvl w:val="1"/>
    </w:pPr>
    <w:rPr>
      <w:b/>
      <w:bCs/>
    </w:rPr>
  </w:style>
  <w:style w:type="paragraph" w:customStyle="1" w:styleId="heading30">
    <w:name w:val="heading 30"/>
    <w:basedOn w:val="Normal"/>
    <w:next w:val="Normal"/>
    <w:qFormat/>
    <w:pPr>
      <w:keepNext/>
      <w:numPr>
        <w:ilvl w:val="2"/>
        <w:numId w:val="3"/>
      </w:numPr>
      <w:spacing w:before="227" w:after="113"/>
      <w:jc w:val="left"/>
      <w:outlineLvl w:val="2"/>
    </w:pPr>
    <w:rPr>
      <w:b/>
      <w:bCs/>
      <w:i/>
      <w:iCs/>
    </w:rPr>
  </w:style>
  <w:style w:type="paragraph" w:customStyle="1" w:styleId="Ttulosinnumerar">
    <w:name w:val="Título sin numerar"/>
    <w:basedOn w:val="Normal"/>
    <w:next w:val="Normal"/>
    <w:qFormat/>
    <w:pPr>
      <w:keepNext/>
      <w:spacing w:before="567" w:after="227"/>
      <w:jc w:val="left"/>
      <w:outlineLvl w:val="0"/>
    </w:pPr>
    <w:rPr>
      <w:b/>
      <w:bCs/>
      <w:sz w:val="28"/>
      <w:szCs w:val="28"/>
    </w:rPr>
  </w:style>
  <w:style w:type="paragraph" w:customStyle="1" w:styleId="Piedefiguraotabla">
    <w:name w:val="Pie de figura o tabla"/>
    <w:basedOn w:val="Normal"/>
    <w:next w:val="Normal"/>
    <w:qFormat/>
    <w:pPr>
      <w:spacing w:before="60"/>
      <w:jc w:val="center"/>
    </w:pPr>
    <w:rPr>
      <w:sz w:val="20"/>
      <w:szCs w:val="20"/>
    </w:rPr>
  </w:style>
  <w:style w:type="paragraph" w:customStyle="1" w:styleId="Referencias">
    <w:name w:val="Referencias"/>
    <w:basedOn w:val="Normal"/>
    <w:qFormat/>
    <w:pPr>
      <w:spacing w:after="60"/>
    </w:pPr>
  </w:style>
  <w:style w:type="character" w:styleId="Mencinsinresolver">
    <w:name w:val="Unresolved Mention"/>
    <w:basedOn w:val="Fuentedeprrafopredeter"/>
    <w:uiPriority w:val="99"/>
    <w:semiHidden/>
    <w:unhideWhenUsed/>
    <w:rsid w:val="00600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rreo@email.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1602</Words>
  <Characters>8814</Characters>
  <Application>Microsoft Office Word</Application>
  <DocSecurity>0</DocSecurity>
  <Lines>73</Lines>
  <Paragraphs>20</Paragraphs>
  <ScaleCrop>false</ScaleCrop>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Daniel de la Prida</cp:lastModifiedBy>
  <cp:revision>23</cp:revision>
  <cp:lastPrinted>2026-06-17T10:34:00Z</cp:lastPrinted>
  <dcterms:created xsi:type="dcterms:W3CDTF">2026-06-17T10:34:00Z</dcterms:created>
  <dcterms:modified xsi:type="dcterms:W3CDTF">2026-06-29T10:15:00Z</dcterms:modified>
</cp:coreProperties>
</file>